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27,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 Entertainment Gaming Global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001-38508</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No. 81-1996183</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tcPr>
          <w:p>
            <w:pPr>
              <w:jc w:val="center"/>
              <w:ind w:right="4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0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8240" w:type="dxa"/>
            <w:vAlign w:val="bottom"/>
            <w:gridSpan w:val="6"/>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5049 Edwards Ranch Rd., 4</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30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300" w:type="dxa"/>
            <w:vAlign w:val="bottom"/>
            <w:gridSpan w:val="5"/>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0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76109</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2940" w:type="dxa"/>
            <w:vAlign w:val="bottom"/>
          </w:tcPr>
          <w:p>
            <w:pPr>
              <w:spacing w:after="0"/>
              <w:rPr>
                <w:sz w:val="24"/>
                <w:szCs w:val="24"/>
                <w:color w:val="auto"/>
              </w:rPr>
            </w:pPr>
          </w:p>
        </w:tc>
        <w:tc>
          <w:tcPr>
            <w:tcW w:w="45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(737) 787-3798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3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30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SEGG</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to purchase one share of common stock, each at</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an exercise price of $2,300.00</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3"/>
              </w:rPr>
              <w:t>LTRYW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27, 2026 (the “Effective Date”), Sports Predicts Limited, a second-tier subsidiary of Sports Entertainment Gaming Global Corporation (the “Company”), entered into a Partnership and Integration Agreement (the “Agreement”) with Blockratize Inc. (“Polymarket” or the “Provider”). Pursuant to the Agreement, the Company will integrate the Provider’s decentralized prediction markets technology into its Sports.com platform.</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Agreement, Polymarket will provide APIs, SDKs and related infrastructure to support the integration of its prediction markets product, enabling users to access and transact in event-based contracts within the Sports.com ecosystem. The Company may charge transaction fees to users engaging with such products, with net revenue from such fees to be shared between the Company and the Provider.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term of the Agreement, Polymarket will serve as the Company’s exclusive provider of prediction markets technology for the Sports.com platform. Each party retains ownership of its respective intellectual property.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contains customary provisions relating to, among other things, confidentiality, indemnification, dispute resolution and independent contractor status. The Company is required to comply with applicable laws in connection with integration, including implementation of geo-restrictions where necessary.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has an initial term through June 30, 2029, unless earlier terminated. The Company may terminate the Agreement at any time, for any reason, upon 15 days’ prior written notice to the Provider.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J. Stubblefield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FOR OFFICIAL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17295"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436880"/>
                    </a:xfrm>
                    <a:prstGeom prst="rect">
                      <a:avLst/>
                    </a:prstGeom>
                    <a:noFill/>
                  </pic:spPr>
                </pic:pic>
              </a:graphicData>
            </a:graphic>
          </wp:anchor>
        </w:drawing>
      </w:r>
    </w:p>
    <w:p>
      <w:pPr>
        <w:ind w:left="6980"/>
        <w:spacing w:after="0" w:line="205" w:lineRule="auto"/>
        <w:rPr>
          <w:sz w:val="20"/>
          <w:szCs w:val="20"/>
          <w:color w:val="auto"/>
        </w:rPr>
      </w:pPr>
      <w:r>
        <w:rPr>
          <w:rFonts w:ascii="Times New Roman" w:cs="Times New Roman" w:eastAsia="Times New Roman" w:hAnsi="Times New Roman"/>
          <w:sz w:val="18"/>
          <w:szCs w:val="18"/>
          <w:color w:val="auto"/>
        </w:rPr>
        <w:t>5049 Edwards Ranch Rd,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Fort Worth, TX 76109</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SEGG Media Exclusively Partners with Polymarket to Power Sports.com Predict</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Integrates Polymarket’s leading prediction technology directly into Sports.com Predict.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a real-time, rapidly scalable sports prediction platform for SEGG Media ahead of the 2026 FIFA World Cup.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robust technology framework to support a global rollout within established regulatory and operational frameworks.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transaction-based revenue share between SEGG Media and Polymarket creates a scalable, high-margin growth engine.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FORT WORTH, Texas, April 28, 2026</w:t>
      </w:r>
      <w:r>
        <w:rPr>
          <w:rFonts w:ascii="Times New Roman" w:cs="Times New Roman" w:eastAsia="Times New Roman" w:hAnsi="Times New Roman"/>
          <w:sz w:val="18"/>
          <w:szCs w:val="18"/>
          <w:color w:val="auto"/>
        </w:rPr>
        <w:t>—Sports Entertainment Gaming Global Corporation (NASDAQ: SEGG, LTRYW) (the “Company” or “SEGG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today announced that it entered into a strategic technology partnership and integration agreement with Polymarket to exclusively power Sports.com Predict, the Company’s prediction market platform on Sports.com.</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partnership with Polymarket follows SEGG Media’s recent announcement of its plans to launch Sports.com Predict ahead of the 2026 FIFA World Cup and confirms that Polymarket’s infrastructure will underpin the platform’s deployment and long-term scalability.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integration, Sports.com Predict will leverage Polymarket’s established prediction market technology stack, enabling users to participate in real-time sports outcome markets directly within the Sports.com ecosystem. The integration is designed to support the rapid scale-up of Sports.com Predict, converting wide-ranging fan engagement into repeat, transaction-driven activity.</w:t>
      </w:r>
    </w:p>
    <w:p>
      <w:pPr>
        <w:spacing w:after="0" w:line="17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By incorporating Polymarket’s technology, Sports.com Predict gains access to proven, institutional-grade technology capable of supporting high transaction volumes. It also provides SEGG Media with the technological foundation to expand Sports.com Predict across all major sports and international markets.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Marc Bircham, Chairman of SEGG Media, said: </w:t>
      </w:r>
      <w:r>
        <w:rPr>
          <w:rFonts w:ascii="Times New Roman" w:cs="Times New Roman" w:eastAsia="Times New Roman" w:hAnsi="Times New Roman"/>
          <w:sz w:val="18"/>
          <w:szCs w:val="18"/>
          <w:i w:val="1"/>
          <w:iCs w:val="1"/>
          <w:color w:val="auto"/>
        </w:rPr>
        <w:t>“Polymarket has played a defining role in building and scaling prediction markets globally,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technology is proven to support high-volume, real-time transactions. Polymarket is the ideal partner for Sports.com Predict, giving us the foundation to scale quickly ahead of the 2026 FIFA World Cup and to drive repeat, transaction-driven fan engagement around the world’s biggest sporting event.”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partnership, SEGG Media and Polymarket will participate in a transaction-based revenue share on trades executed via Sports.com Predict, creating a high-margin growth engine within the Company’s broader digital sports, entertainment, and gaming ecosystem.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announced, Sports.com Predict is being rolled out in phases, subject to regulatory considerations and development progress.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Polymarket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Polymarket is the world’s largest prediction market. On Polymarket, traders predict the outcome of future events and win when they are right. As traders react to breaking news in real-time, market prices are the best gauge of the likelihood of events occurring. Institutions, individuals, and the media rely on these forecasts to report the news and better understand the future. Across politics, current events, pop culture, and more, billions of dollars of predictions have been made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980"/>
        <w:spacing w:after="0"/>
        <w:rPr>
          <w:sz w:val="20"/>
          <w:szCs w:val="20"/>
          <w:color w:val="auto"/>
        </w:rPr>
      </w:pPr>
      <w:r>
        <w:rPr>
          <w:rFonts w:ascii="Times New Roman" w:cs="Times New Roman" w:eastAsia="Times New Roman" w:hAnsi="Times New Roman"/>
          <w:sz w:val="18"/>
          <w:szCs w:val="18"/>
          <w:color w:val="auto"/>
        </w:rPr>
        <w:t>FOR OFFICIAL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17295"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7295" cy="436880"/>
                    </a:xfrm>
                    <a:prstGeom prst="rect">
                      <a:avLst/>
                    </a:prstGeom>
                    <a:noFill/>
                  </pic:spPr>
                </pic:pic>
              </a:graphicData>
            </a:graphic>
          </wp:anchor>
        </w:drawing>
      </w:r>
    </w:p>
    <w:p>
      <w:pPr>
        <w:ind w:left="6980"/>
        <w:spacing w:after="0" w:line="205" w:lineRule="auto"/>
        <w:rPr>
          <w:sz w:val="20"/>
          <w:szCs w:val="20"/>
          <w:color w:val="auto"/>
        </w:rPr>
      </w:pPr>
      <w:r>
        <w:rPr>
          <w:rFonts w:ascii="Times New Roman" w:cs="Times New Roman" w:eastAsia="Times New Roman" w:hAnsi="Times New Roman"/>
          <w:sz w:val="18"/>
          <w:szCs w:val="18"/>
          <w:color w:val="auto"/>
        </w:rPr>
        <w:t>5049 Edwards Ranch Rd,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Fort Worth, TX 76109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SEGG Media Corporation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SEGG Media (Nasdaq: SEGG, LTRYW) is a global sports, entertainment, and gaming group operating a portfolio of digital assets including Sports.com, Concerts.com, TicketStub.com, Lottery.com, and Veloce Media Group. Focused on immersive fan engagement, ethical gaming, and AI-driven live experiences, SEGG Media is redefining how global audiences interact with the content they love.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additional information</w:t>
            </w:r>
          </w:p>
        </w:tc>
        <w:tc>
          <w:tcPr>
            <w:tcW w:w="14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SEGG Media</w:t>
            </w:r>
          </w:p>
        </w:tc>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SEGG Investors</w:t>
            </w:r>
          </w:p>
        </w:tc>
      </w:tr>
      <w:tr>
        <w:trPr>
          <w:trHeight w:val="39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press@seggmedia.com</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w w:val="98"/>
              </w:rPr>
              <w:t>ir@seggmedia.com</w:t>
            </w:r>
          </w:p>
        </w:tc>
      </w:tr>
      <w:tr>
        <w:trPr>
          <w:trHeight w:val="237"/>
        </w:trPr>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737-587-3391</w:t>
            </w:r>
          </w:p>
        </w:tc>
        <w:tc>
          <w:tcPr>
            <w:tcW w:w="396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737-787-3891</w:t>
            </w: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Important Notice Regarding Forward-Looking Statements</w:t>
            </w:r>
          </w:p>
        </w:tc>
        <w:tc>
          <w:tcPr>
            <w:tcW w:w="14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press release,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press release are subject to risks and uncertainties, including but not limited to, any future findings from ongoing review of the Company’s internal accounting controls, additional examination of the preliminary conclusions of such review, the Company’s ability to secure additional capital resources, the Company’s ability to continue as a going concern, the Company’s ability to respond in a timely and satisfactory matter to the inquiries by Nasdaq, the Company’s ability to regain compliance with the Bid Price Requirement, the Company’s ability to regain compliance with Nasdaq Listing Rules, the Company’s ability to become current with its SEC reports, and those additional risks and uncertainties discussed under the heading “Risk Factors” in the Form 10-K/A filed by the Company with the SEC on April 22, 2025,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press release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2026-04-28T07:02:52Z</dcterms:created>
  <dcterms:modified xsi:type="dcterms:W3CDTF">2026-04-28T07:02:52Z</dcterms:modified>
</cp:coreProperties>
</file>