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Sports Entertainment Gaming Global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001-38508</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No. 81-1996183</w:t>
            </w:r>
          </w:p>
        </w:tc>
      </w:tr>
      <w:tr>
        <w:trPr>
          <w:trHeight w:val="187"/>
        </w:trPr>
        <w:tc>
          <w:tcPr>
            <w:tcW w:w="2940" w:type="dxa"/>
            <w:vAlign w:val="bottom"/>
            <w:tcBorders>
              <w:top w:val="single" w:sz="8" w:color="auto"/>
            </w:tcBorders>
          </w:tcPr>
          <w:p>
            <w:pPr>
              <w:jc w:val="center"/>
              <w:ind w:left="590"/>
              <w:spacing w:after="0" w:line="188"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tcPr>
          <w:p>
            <w:pPr>
              <w:jc w:val="center"/>
              <w:ind w:right="4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50"/>
        </w:trPr>
        <w:tc>
          <w:tcPr>
            <w:tcW w:w="8240" w:type="dxa"/>
            <w:vAlign w:val="bottom"/>
            <w:gridSpan w:val="6"/>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7"/>
              </w:rPr>
              <w:t>5049 Edwards Ranch Rd., 4</w:t>
            </w:r>
            <w:r>
              <w:rPr>
                <w:rFonts w:ascii="Times New Roman" w:cs="Times New Roman" w:eastAsia="Times New Roman" w:hAnsi="Times New Roman"/>
                <w:sz w:val="29"/>
                <w:szCs w:val="29"/>
                <w:b w:val="1"/>
                <w:bCs w:val="1"/>
                <w:color w:val="auto"/>
                <w:w w:val="97"/>
                <w:vertAlign w:val="superscript"/>
              </w:rPr>
              <w:t>th</w:t>
            </w:r>
            <w:r>
              <w:rPr>
                <w:rFonts w:ascii="Times New Roman" w:cs="Times New Roman" w:eastAsia="Times New Roman" w:hAnsi="Times New Roman"/>
                <w:sz w:val="18"/>
                <w:szCs w:val="18"/>
                <w:b w:val="1"/>
                <w:bCs w:val="1"/>
                <w:color w:val="auto"/>
                <w:w w:val="97"/>
              </w:rPr>
              <w:t xml:space="preserve"> Floor</w:t>
            </w: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ind w:right="3740"/>
              <w:spacing w:after="0"/>
              <w:rPr>
                <w:sz w:val="20"/>
                <w:szCs w:val="20"/>
                <w:color w:val="auto"/>
              </w:rPr>
            </w:pPr>
            <w:r>
              <w:rPr>
                <w:rFonts w:ascii="Times New Roman" w:cs="Times New Roman" w:eastAsia="Times New Roman" w:hAnsi="Times New Roman"/>
                <w:sz w:val="18"/>
                <w:szCs w:val="18"/>
                <w:b w:val="1"/>
                <w:bCs w:val="1"/>
                <w:color w:val="auto"/>
                <w:w w:val="97"/>
              </w:rPr>
              <w:t>Fort Worth, Texas</w:t>
            </w:r>
          </w:p>
        </w:tc>
        <w:tc>
          <w:tcPr>
            <w:tcW w:w="300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7"/>
              </w:rPr>
              <w:t>76109</w:t>
            </w:r>
          </w:p>
        </w:tc>
      </w:tr>
      <w:tr>
        <w:trPr>
          <w:trHeight w:val="232"/>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387"/>
        </w:trPr>
        <w:tc>
          <w:tcPr>
            <w:tcW w:w="2940" w:type="dxa"/>
            <w:vAlign w:val="bottom"/>
          </w:tcPr>
          <w:p>
            <w:pPr>
              <w:spacing w:after="0"/>
              <w:rPr>
                <w:sz w:val="24"/>
                <w:szCs w:val="24"/>
                <w:color w:val="auto"/>
              </w:rPr>
            </w:pPr>
          </w:p>
        </w:tc>
        <w:tc>
          <w:tcPr>
            <w:tcW w:w="45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(737) 787-3798</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3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30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shd w:val="clear" w:color="auto" w:fill="CCEEFF"/>
          </w:tcPr>
          <w:p>
            <w:pPr>
              <w:spacing w:after="0"/>
              <w:rPr>
                <w:sz w:val="18"/>
                <w:szCs w:val="18"/>
                <w:color w:val="auto"/>
              </w:rPr>
            </w:pP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SEGG</w:t>
            </w:r>
          </w:p>
        </w:tc>
        <w:tc>
          <w:tcPr>
            <w:tcW w:w="220" w:type="dxa"/>
            <w:vAlign w:val="bottom"/>
            <w:shd w:val="clear" w:color="auto" w:fill="CCEEFF"/>
          </w:tcPr>
          <w:p>
            <w:pPr>
              <w:spacing w:after="0"/>
              <w:rPr>
                <w:sz w:val="18"/>
                <w:szCs w:val="18"/>
                <w:color w:val="auto"/>
              </w:rPr>
            </w:pP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0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Warrants to purchase one share of common stock, each</w:t>
            </w:r>
          </w:p>
        </w:tc>
        <w:tc>
          <w:tcPr>
            <w:tcW w:w="220" w:type="dxa"/>
            <w:vAlign w:val="bottom"/>
          </w:tcPr>
          <w:p>
            <w:pPr>
              <w:spacing w:after="0"/>
              <w:rPr>
                <w:sz w:val="17"/>
                <w:szCs w:val="17"/>
                <w:color w:val="auto"/>
              </w:rPr>
            </w:pPr>
          </w:p>
        </w:tc>
        <w:tc>
          <w:tcPr>
            <w:tcW w:w="24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3"/>
              </w:rPr>
              <w:t>LTRYW</w:t>
            </w:r>
          </w:p>
        </w:tc>
        <w:tc>
          <w:tcPr>
            <w:tcW w:w="220" w:type="dxa"/>
            <w:vAlign w:val="bottom"/>
          </w:tcPr>
          <w:p>
            <w:pPr>
              <w:spacing w:after="0"/>
              <w:rPr>
                <w:sz w:val="17"/>
                <w:szCs w:val="17"/>
                <w:color w:val="auto"/>
              </w:rPr>
            </w:pP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at an exercise price of $2,300.00</w:t>
            </w:r>
          </w:p>
        </w:tc>
        <w:tc>
          <w:tcPr>
            <w:tcW w:w="2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 (a)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16, 2026, 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with certain institutional investors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pursuant to which the Company agreed to issue and sell to the Purchasers unsecured convertible promissory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in an aggregate initial principal (face) amount of up to $11,764,705.88. The Notes are being offered and sold in a private placement transaction pursuant to Section 4(a)(2) of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Rule 506 of Regulation D promulgated thereunder.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will be issued in multiple tranches as follows: (i) an initial tranche (the “</w:t>
      </w:r>
      <w:r>
        <w:rPr>
          <w:rFonts w:ascii="Times New Roman" w:cs="Times New Roman" w:eastAsia="Times New Roman" w:hAnsi="Times New Roman"/>
          <w:sz w:val="18"/>
          <w:szCs w:val="18"/>
          <w:u w:val="single" w:color="auto"/>
          <w:color w:val="auto"/>
        </w:rPr>
        <w:t>Initial Tranche</w:t>
      </w:r>
      <w:r>
        <w:rPr>
          <w:rFonts w:ascii="Times New Roman" w:cs="Times New Roman" w:eastAsia="Times New Roman" w:hAnsi="Times New Roman"/>
          <w:sz w:val="18"/>
          <w:szCs w:val="18"/>
          <w:color w:val="auto"/>
        </w:rPr>
        <w:t>”) in an aggregate face amount of $3,529,411.76, to be funded upon execution of the transaction documents; (ii) a second tranche in an aggregate face amount of $588,235.29, to be funded upon filing of the Registration Statement; (iii) a third tranche in an aggregate face amount of $1,764,705.88, to be funded upon effectiveness of the Registration Statement; and (iv) subsequent tranches of up to $5,882,352.94 face value in the aggregate, which may be funded until December 31, 2026 upon mutual agreement between the Purchasers and the Company. Each Note is being sold at a fifteen percent (15%) original issue discount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to the applicable face value.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Note bears interest at a rate of twelve percent (12%) per annum. Each Note matures twenty-four (24) months from its respective issuance date. The Notes are convertible, at any time after the applicable issuance date, at the option of the holder, into shares of the Company’s common stock,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conversion price equal to the lower of (i) the closing sale price of the Common Stock on the applicable issuance date and (ii) 95% of the lowest daily volume-weighted average price (“</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of the Common Stock during the five (5) consecutive trading day period ending and including the trading day immediately preceding the applicable conversion date, subject to a floor price equal to 20% below the closing sale price of the Common Stock on the applicable issuance date (the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In the event the conversion price on any conversion date is less than the Floor Price, the Company will issue shares at the Floor Price and pay the holder the difference in cash. The Notes are subject to a beneficial ownership limitation of 4.99%, which may be increased by the holder to up to 9.99% upon written notice to the Company.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of the Company and the Purchasers. The Notes contain customary covenants, including maintenance of properties, intellectual property, and insurance and restrictions on redemptions. The Notes also include customary events of default.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Company entered into a Placement Agency Agreement, dated March 16, 2026, by and between the Company and Dawson James Securities, Inc., as placement agent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pursuant to which the Placement Agent agreed to act as the exclusive placement agent for the Company in connection with the offering and sale of the Notes. In consideration for the foregoing, the Company has agreed to pay customary placement fees to the Placement Agent and has also agreed to reimburse certain expenses of the Placement Agent incurred in connection with the Private Placement.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Concurrently with the Purchase Agreement, the Company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with the Purchasers, pursuant to which the Company agreed to file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registering the resale of the shares of Common Stock issuable upon conversion of the Notes (the “</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within ten</w:t>
      </w:r>
    </w:p>
    <w:p>
      <w:pPr>
        <w:spacing w:after="0" w:line="1" w:lineRule="exact"/>
        <w:rPr>
          <w:sz w:val="20"/>
          <w:szCs w:val="20"/>
          <w:color w:val="auto"/>
        </w:rPr>
      </w:pPr>
    </w:p>
    <w:p>
      <w:pPr>
        <w:jc w:val="both"/>
        <w:ind w:right="20" w:firstLine="8"/>
        <w:spacing w:after="0" w:line="255" w:lineRule="auto"/>
        <w:tabs>
          <w:tab w:leader="none" w:pos="3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date of the Registration Rights Agreement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The Company is required to use commercially reasonable efforts to cause the Registration Statement to be declared effective within forty-five (45) calendar days following the date of the Registration Rights Agreement (or seventy-five (75) calendar days in the event of a “full review” by the Commission).</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Purchase Agreement, the Notes, the Registration Rights Agreement, and the Placement Agency Agreement do not purport to be complete and are qualified in their entirety by reference to the full text of the Purchase Agreement, the form of Note, the Registration Rights Agreement, and the Placement Agency Agreement, copies of which are filed as Exhibits 10.1, 10.2, 10.3, and 1.1, respectively, to this Current Report on Form 8-K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with respect to the issuance of the Notes is incorporated herein by reference into this Item 2.03.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above in Item 1.01 of this Current Report on Form 8-K, to the extent applicable, is incorporated herein by reference.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described in Item 1.01 above, on March 16, 2026, the Company entered into the Purchase Agreement with the Purchasers and issued the Initial Tranche Note in an aggregate original principal amount of $3,529,411.76. The Notes are convertible into shares of Common Stock. The issuance and sale of the Notes and the Conversion Shares issuable upon conversion thereof were not registered under the Securities Act, in reliance upon the exemption from registration provided by Section 4(a)(2) of the Securities Act and Rule 506 of Regulation D promulgated thereunder. Each Purchaser represented to the Company that it is an “accredited investor” as defined in Rule 501(a) of Regulation D under the Securities Act or a “qualified institutional buyer” as defined in Rule 144A(a) under the Securities Act. The Company did not engage in any form of general solicitation or general advertising in connection with the offering.</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Neither the Notes nor the Conversion Shares have been registered under the Securities Act or applicable state securities laws, and may not be offered or sold in the United States absent registration or an applicable exemption from the registration requirements of the Securities Act and applicable state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40" w:type="dxa"/>
            <w:vAlign w:val="bottom"/>
          </w:tcPr>
          <w:p>
            <w:pPr>
              <w:spacing w:after="0"/>
              <w:rPr>
                <w:sz w:val="14"/>
                <w:szCs w:val="14"/>
                <w:color w:val="auto"/>
              </w:rPr>
            </w:pPr>
          </w:p>
        </w:tc>
        <w:tc>
          <w:tcPr>
            <w:tcW w:w="8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990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EE"/>
              </w:rPr>
              <w:t>Placement Agency Agreement, dated March 16, 2026, by and between Sports Entertainment Gaming Global Corporation and Dawson</w:t>
            </w: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James Securities, Inc.</w:t>
            </w:r>
          </w:p>
        </w:tc>
        <w:tc>
          <w:tcPr>
            <w:tcW w:w="20" w:type="dxa"/>
            <w:vAlign w:val="bottom"/>
          </w:tcPr>
          <w:p>
            <w:pPr>
              <w:spacing w:after="0"/>
              <w:rPr>
                <w:sz w:val="17"/>
                <w:szCs w:val="17"/>
                <w:color w:val="auto"/>
              </w:rPr>
            </w:pPr>
          </w:p>
        </w:tc>
      </w:tr>
      <w:tr>
        <w:trPr>
          <w:trHeight w:val="20"/>
        </w:trPr>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196"/>
        </w:trPr>
        <w:tc>
          <w:tcPr>
            <w:tcW w:w="12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9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Securities Purchase Agreement, dated March 16, 2026, by and between Sports Entertainment Gaming Global Corporation and the</w:t>
            </w: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Purchasers.</w:t>
            </w:r>
          </w:p>
        </w:tc>
      </w:tr>
      <w:tr>
        <w:trPr>
          <w:trHeight w:val="20"/>
        </w:trPr>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196"/>
        </w:trPr>
        <w:tc>
          <w:tcPr>
            <w:tcW w:w="12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9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Form of Convertible Promissory Note</w:t>
            </w:r>
          </w:p>
        </w:tc>
      </w:tr>
      <w:tr>
        <w:trPr>
          <w:trHeight w:val="20"/>
        </w:trPr>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Registration Rights Agreement, dated March 16, 2026, by and between Sports Entertainment Gaming Global Corporation and the</w:t>
            </w:r>
          </w:p>
        </w:tc>
      </w:tr>
      <w:tr>
        <w:trPr>
          <w:trHeight w:val="196"/>
        </w:trPr>
        <w:tc>
          <w:tcPr>
            <w:tcW w:w="12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99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Purchasers.</w:t>
            </w:r>
          </w:p>
        </w:tc>
      </w:tr>
      <w:tr>
        <w:trPr>
          <w:trHeight w:val="20"/>
        </w:trPr>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080" w:type="dxa"/>
            <w:vAlign w:val="bottom"/>
            <w:gridSpan w:val="4"/>
          </w:tcPr>
          <w:p>
            <w:pPr>
              <w:spacing w:after="0" w:line="20" w:lineRule="exact"/>
              <w:rPr>
                <w:sz w:val="1"/>
                <w:szCs w:val="1"/>
                <w:color w:val="auto"/>
              </w:rPr>
            </w:pPr>
          </w:p>
        </w:tc>
      </w:tr>
      <w:tr>
        <w:trPr>
          <w:trHeight w:val="237"/>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156845</wp:posOffset>
            </wp:positionV>
            <wp:extent cx="3145790" cy="771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4579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AGENCY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05" w:lineRule="auto"/>
        <w:rPr>
          <w:sz w:val="20"/>
          <w:szCs w:val="20"/>
          <w:color w:val="auto"/>
        </w:rPr>
      </w:pPr>
      <w:r>
        <w:rPr>
          <w:rFonts w:ascii="Times New Roman" w:cs="Times New Roman" w:eastAsia="Times New Roman" w:hAnsi="Times New Roman"/>
          <w:sz w:val="18"/>
          <w:szCs w:val="18"/>
          <w:color w:val="auto"/>
        </w:rPr>
        <w:t>5049 Edwards Ranch Rd,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Worth, TX 76109</w:t>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constitutes the agreement between 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Dawson James Securities, Inc. (“</w:t>
      </w:r>
      <w:r>
        <w:rPr>
          <w:rFonts w:ascii="Times New Roman" w:cs="Times New Roman" w:eastAsia="Times New Roman" w:hAnsi="Times New Roman"/>
          <w:sz w:val="18"/>
          <w:szCs w:val="18"/>
          <w:u w:val="single" w:color="auto"/>
          <w:color w:val="auto"/>
        </w:rPr>
        <w:t>Dawson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pursuant to which Dawson shall serve as the exclusive placement agent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for the Company, on a best efforts basis, in connection with the proposed private offer and placement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by the Company of its Securities (as defined Section 3 of this Agreement). The Company and Dawson hereby mutually agree to the terms of the Offering and the Securities, and nothing in this Agreement may be construed to suggest that Dawson would have the power or authority to bind the Company or an obligation for the Company to issue any Securities or complete the Offering. The Company expressly acknowledges and agrees that Dawson’s obligations hereunder are on a reasonable “best efforts basis” only and that the execution of this Agreement does not constitute a commitment by Dawson to purchase the Securities and does not ensure the successful placement of the Securities or any portion thereof or the success of Dawson placing the Securities.</w:t>
      </w:r>
    </w:p>
    <w:p>
      <w:pPr>
        <w:spacing w:after="0" w:line="192"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Dawson James Securities, Inc. as Exclusive Placement Agent.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the basis of the representations, warranties, covenants and agreements of the Company herein contained, and subject to all the terms and conditions of this Agreement, the Company hereby appoints the Placement Agent as its exclusive placement agent in connection with a distribution of its Securities to be offered and sold by the Company in reliance upon the exemption from securities registration afforded by Section 4(2)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Rule 506(b) of Regulation D (“</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as promulgated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Act, and Dawson agrees to act as the Company’s exclusive Placement Agent. Pursuant to this appointment, the Placement Agent will solicit offers for the purchase of or attempt to place all or part of the Securities of the Company in the proposed Offering. Until the final closing or earlier upon termination of this Agreement or expiration of the Exclusive Term pursuant to Section 5 hereof, the Company shall not, without the prior written consent of the Placement Agent, solicit or accept offers to purchase the Securities other than through the Placement Agent. The Company acknowledges that the Placement Agent will act as an agent of the Company and use its reasonable “best efforts” to solicit offers to purchase the Securities from the Company. The Placement Agent shall use commercially reasonable efforts to assist the Company in obtaining performance by each Purchaser whose offer to purchase Securities has been solicited by the Placement Agent, but the Placement Agent shall not, except as otherwise provided in this Agreement, be obligated to disclose the identity of any potential purchaser or have any liability to the Company in the event any such purchase is not consummated for any reason. Under no circumstances will the Placement Agent be obligated to underwrite or purchase any Securities for its own account and, in soliciting purchases of the Securities, the Placement Agent shall act solely as an agent of the Company. The Placement Agent’s services provided pursuant to this Agreement shall be on an “agency” basis and not on a “principal” basis.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Placement Agent will solicit offers for the purchase of the Securities in the Offering at such times and in such amounts as the Placement Agent deems advisable and will communicate to the Company, orally or in writing, each reasonable offer to purchase Securities received by the Placement Agent as an agent of the Company. The Company shall have the sole right to accept offers to purchase Securities and may reject any such offer, in whole or in part. The Placement Agent may retain other brokers or dealers to act as sub-agents on its behalf in connection with the Offering and may pay any sub-agent a solicitation fee with respect to any Securities placed by it. The Company and Placement Agent shall negotiate the timing and terms of the Offering and acknowledge that the Offering and the provision of Placement Agent services related to the Offering are subject to market conditions and the receipt of all required related clearances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Placement Agent services described above, the Company shall pay to Dawson the following compensation:</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9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 Agent’s Fee</w:t>
      </w:r>
      <w:r>
        <w:rPr>
          <w:rFonts w:ascii="Times New Roman" w:cs="Times New Roman" w:eastAsia="Times New Roman" w:hAnsi="Times New Roman"/>
          <w:sz w:val="18"/>
          <w:szCs w:val="18"/>
          <w:color w:val="auto"/>
        </w:rPr>
        <w:t>. As compensation for services rendered, the Company shall pay to the Placement Agent in cash by wire transfer in immediately available funds to an account or accounts designated by the Placement Agent an amount (the “</w:t>
      </w:r>
      <w:r>
        <w:rPr>
          <w:rFonts w:ascii="Times New Roman" w:cs="Times New Roman" w:eastAsia="Times New Roman" w:hAnsi="Times New Roman"/>
          <w:sz w:val="18"/>
          <w:szCs w:val="18"/>
          <w:u w:val="single" w:color="auto"/>
          <w:color w:val="auto"/>
        </w:rPr>
        <w:t>Placement Fee</w:t>
      </w:r>
      <w:r>
        <w:rPr>
          <w:rFonts w:ascii="Times New Roman" w:cs="Times New Roman" w:eastAsia="Times New Roman" w:hAnsi="Times New Roman"/>
          <w:sz w:val="18"/>
          <w:szCs w:val="18"/>
          <w:color w:val="auto"/>
        </w:rPr>
        <w:t>”) equal to 7% of the aggregate gross proceeds received by the Company from the sale of the Securities, at one or more closings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and the date on which each Closing occurs,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For the avoidance of doubt, a Placement Fee is due on each Closing Date.</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4" w:lineRule="auto"/>
        <w:tabs>
          <w:tab w:leader="none" w:pos="87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Expenses</w:t>
      </w:r>
      <w:r>
        <w:rPr>
          <w:rFonts w:ascii="Times New Roman" w:cs="Times New Roman" w:eastAsia="Times New Roman" w:hAnsi="Times New Roman"/>
          <w:sz w:val="18"/>
          <w:szCs w:val="18"/>
          <w:color w:val="auto"/>
        </w:rPr>
        <w:t>. The Company agrees to pay all costs, fees and expenses incurred by the Company in connection with the performance of its obligations hereunder and in connection with the transactions contemplated hereby, including, without limitation: (a) all actual fees, expenses and disbursements relating to the Securities under the “blue sky” securities laws of such states and other jurisdictions as the Placement Agent may reasonably designate; (b) the costs of preparing, printing and delivering certificates representing the Securities; (c) fees and expenses of the transfer agent for the Securities; (e) the fees and expenses of the Company’s accountants; (d) the fees and expenses of the Company’s legal counsel and other agents and representatives; (e) the legal and diligence fees and expenses of the Placement Agent not to exceed $25,000. The Placement Agent may deduct from the net proceeds of the Offering payable to the Company on the Closing Date, the expenses set forth herein to be paid by the Company to the Placement Agent, provided, however, that in the event that the Offering is terminated, the Company agrees to reimburse the Placement Agent pursuant to Section 5 hereof.</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the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Securities to be offered directly to various investors (each,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in the Offering shall be convertible promissory notes in the aggregate principal amount of $11,764,705.88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which are being purchased for $10,000,000, reflecting a 15% original issue discount, and which is convertible into shares of Common Stock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If the Securities actually sold are differ than he foregoing, this Agreement will still control. If the Company shall default in its obligations to deliver Securities to a Purchaser whose offer it has accepted, the Company shall indemnify and hold the Placement Agent harmless against any loss, claim, damage or expense arising from or as a result of such default by the Company under this Agreement.</w:t>
      </w:r>
    </w:p>
    <w:p>
      <w:pPr>
        <w:spacing w:after="0" w:line="187"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and Payment; Closing.</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Investors purchasing Securities shall by ACH or wire transfer pay for such Securities by transmitting payment to the order of the Company. The Securities shall be registered in such name or names and in such authorized denominations as the Placement Agent may request in writing prior to the Closing Date. The Closing shall occur electronically through the exchange of signatures at such time as agreed upon by the Placement Agent and the Company. All actions taken at a Closing shall be deemed to have occurred simultaneously.</w:t>
      </w:r>
    </w:p>
    <w:p>
      <w:pPr>
        <w:spacing w:after="0" w:line="180"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Termination of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term of this Agreement will commence upon the execution of this Agreement and will terminate at the earlier of the final Closing of the Offering or 11:59 p.m. (New York Time) on March 20, 2026 (the “</w:t>
      </w:r>
      <w:r>
        <w:rPr>
          <w:rFonts w:ascii="Times New Roman" w:cs="Times New Roman" w:eastAsia="Times New Roman" w:hAnsi="Times New Roman"/>
          <w:sz w:val="18"/>
          <w:szCs w:val="18"/>
          <w:u w:val="single" w:color="auto"/>
          <w:color w:val="auto"/>
        </w:rPr>
        <w:t>Exclusive Term</w:t>
      </w:r>
      <w:r>
        <w:rPr>
          <w:rFonts w:ascii="Times New Roman" w:cs="Times New Roman" w:eastAsia="Times New Roman" w:hAnsi="Times New Roman"/>
          <w:sz w:val="18"/>
          <w:szCs w:val="18"/>
          <w:color w:val="auto"/>
        </w:rPr>
        <w:t>”). Notwithstanding anything to the contrary contained herein, any provision in this Agreement concerning or relating to confidentiality, indemnification, contribution, advancement, the Company’s representations and warranties and the Company’s obligations to pay fees and reimburse expenses will survive any expiration or termination of this Agreement. If any condition specified in Section 8 is not satisfied when and as required to be satisfied, this Agreement may be terminated by the Placement Agent by notice to the Company at any time on or prior to a Closing Date, which termination shall be without liability on the part of any party to any other party, except that those portions of this Agreement specified in Section 19 shall at all times be effective and shall survive such termination. Notwithstanding anything to the contrary in this Agreement, in the event that this Agreement shall not be carried out for any reason whatsoever, within the time specified herein or any extensions thereof pursuant to the terms herein, the Company shall be obligated to pay to the Placement Agent their actual and accountable out-of-pocket expenses related to the transactions contemplated herein then due and payable and upon demand the Company shall pay the full amount thereof to the Placement Agent; provided, that the legal and diligence fees and expenses of the Placement Agent shall not exceed $25,000; and provided, however, that such expense cap in no way limits or impairs the indemnification and contribution provisions of this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Acts.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Nothing in this Agreement shall be construed to limit the ability of the Placement Agent, its officers, directors, employees, agents, associated persons and any individual or entity “controlling,” controlled by,” or “under common control” with the Placement Agent (as those terms are defined in Rule 405 under the Securities Act) to conduct its business including without limitation the ability to pursue, investigate, analyze, invest in, or engage in investment banking, financial advisory or any other business relationship with any individual or corporation, partnership, trust, incorporated or unincorporated association, joint venture, limited liability company, joint stock company, government (or an agency or subdivision thereof) or other entity of any kind.</w:t>
      </w:r>
    </w:p>
    <w:p>
      <w:pPr>
        <w:spacing w:after="0" w:line="18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and time of the execution of this Agreement and each Closing Date, the Company represents, warrants and covenants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that:</w:t>
      </w:r>
    </w:p>
    <w:p>
      <w:pPr>
        <w:spacing w:after="0" w:line="207"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SEC Reports; Financial Statements, etc.</w:t>
      </w:r>
      <w:r>
        <w:rPr>
          <w:rFonts w:ascii="Times New Roman" w:cs="Times New Roman" w:eastAsia="Times New Roman" w:hAnsi="Times New Roman"/>
          <w:sz w:val="18"/>
          <w:szCs w:val="18"/>
          <w:color w:val="auto"/>
        </w:rPr>
        <w:t xml:space="preserve"> The Company has complied in all material respects with requirements to file all reports, schedules, forms, statements and other documents required to be filed by it under the Securities Act and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including pursuant to Section 13(a) or 15(d) thereof, for the 24 months preceding the date hereof (or such shorter period as the Company was required by law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 The financial statements, including the notes thereto and supporting schedules, included in the SEC Reports fairly present in all material respects the financial position and the results of operations of the Company at the dates and for the periods to which they apply; and such financial statements have been prepared in conformity with GAAP, consistently applied throughout the periods involved (provided that unaudited interim financial statements are subject to year-end audit adjustments that are not expected to be material in the aggregate and do not contain all footnotes required by GAAP). The pro forma and pro forma as adjusted financial information and the related notes, if any, included in the SEC Reports have been properly compiled and prepared in accordance with the applicable requirements of the Securities Act and the rules and regulations thereto (the “</w:t>
      </w:r>
      <w:r>
        <w:rPr>
          <w:rFonts w:ascii="Times New Roman" w:cs="Times New Roman" w:eastAsia="Times New Roman" w:hAnsi="Times New Roman"/>
          <w:sz w:val="18"/>
          <w:szCs w:val="18"/>
          <w:u w:val="single" w:color="auto"/>
          <w:color w:val="auto"/>
        </w:rPr>
        <w:t>Securities Act Regulations</w:t>
      </w:r>
      <w:r>
        <w:rPr>
          <w:rFonts w:ascii="Times New Roman" w:cs="Times New Roman" w:eastAsia="Times New Roman" w:hAnsi="Times New Roman"/>
          <w:sz w:val="18"/>
          <w:szCs w:val="18"/>
          <w:color w:val="auto"/>
        </w:rPr>
        <w:t>”)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SEC Reports regarding “non-GAAP financial measures” (as such term is defined by the rules and regulations of the Commission), if any, comply with Regulation G of the Exchange Act to the extent applicable. Except as disclosed in the SEC Reports, (a) the Company has not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other than in the ordinary course of business, any grants under any stock compensation plan, and (d) there has not been any change in the Company’s long-term or short-term debt that, singularly or in the aggregate, would involve a material adverse change or a prospective material adverse change, in or affecting the condition (financial or otherwise), results of operations, business, assets or prospects of the Company (a “</w:t>
      </w:r>
      <w:r>
        <w:rPr>
          <w:rFonts w:ascii="Times New Roman" w:cs="Times New Roman" w:eastAsia="Times New Roman" w:hAnsi="Times New Roman"/>
          <w:sz w:val="18"/>
          <w:szCs w:val="18"/>
          <w:u w:val="single" w:color="auto"/>
          <w:color w:val="auto"/>
        </w:rPr>
        <w:t>Material Adverse Change</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To the knowledge of the Company, Boladale Lawal &amp; Company (the “</w:t>
      </w:r>
      <w:r>
        <w:rPr>
          <w:rFonts w:ascii="Times New Roman" w:cs="Times New Roman" w:eastAsia="Times New Roman" w:hAnsi="Times New Roman"/>
          <w:sz w:val="18"/>
          <w:szCs w:val="18"/>
          <w:u w:val="single" w:color="auto"/>
          <w:color w:val="auto"/>
        </w:rPr>
        <w:t>Auditors</w:t>
      </w:r>
      <w:r>
        <w:rPr>
          <w:rFonts w:ascii="Times New Roman" w:cs="Times New Roman" w:eastAsia="Times New Roman" w:hAnsi="Times New Roman"/>
          <w:sz w:val="18"/>
          <w:szCs w:val="18"/>
          <w:color w:val="auto"/>
        </w:rPr>
        <w:t>”), whose reports are filed with the Commission, is an independent registered public accounting firm as required by the Securities Act and the Securities Act Regulations and the Public Company Accounting Oversight Board.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Authorized Capital, etc.</w:t>
      </w:r>
      <w:r>
        <w:rPr>
          <w:rFonts w:ascii="Times New Roman" w:cs="Times New Roman" w:eastAsia="Times New Roman" w:hAnsi="Times New Roman"/>
          <w:sz w:val="18"/>
          <w:szCs w:val="18"/>
          <w:color w:val="auto"/>
        </w:rPr>
        <w:t xml:space="preserve"> The Company’s duly authorized, issued and outstanding capitalization is as disclosed in the SEC Reports. As of the Closing, except as set forth in the SEC Reports, as of each Closing Date, there will be no stock options, warrants, or other rights to purchase or otherwise acquire any authorized, but unissued shares of Common Stock of the Company or any security convertible or exercisable into shares of Common Stock of the Company, except for convertible notes disclosed in filings with the SEC or any contracts or commitments to issue or sell shares of Common Stock or any such options, warrants, rights or convertible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Valid Issuance of Securities, etc.</w:t>
      </w:r>
    </w:p>
    <w:p>
      <w:pPr>
        <w:spacing w:after="0" w:line="225" w:lineRule="exact"/>
        <w:rPr>
          <w:sz w:val="20"/>
          <w:szCs w:val="20"/>
          <w:color w:val="auto"/>
        </w:rPr>
      </w:pPr>
    </w:p>
    <w:p>
      <w:pPr>
        <w:jc w:val="both"/>
        <w:ind w:left="960" w:hanging="316"/>
        <w:spacing w:after="0" w:line="254"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Outstanding Securities</w:t>
      </w:r>
      <w:r>
        <w:rPr>
          <w:rFonts w:ascii="Times New Roman" w:cs="Times New Roman" w:eastAsia="Times New Roman" w:hAnsi="Times New Roman"/>
          <w:sz w:val="18"/>
          <w:szCs w:val="18"/>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shares of Common Stock, Company preferred stock and other outstanding securities conform in all material respects to all statements relating thereto contained in the SEC Reports. The offers and sales of the outstanding shares of Common Stock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188" w:lineRule="exact"/>
        <w:rPr>
          <w:rFonts w:ascii="Times New Roman" w:cs="Times New Roman" w:eastAsia="Times New Roman" w:hAnsi="Times New Roman"/>
          <w:sz w:val="18"/>
          <w:szCs w:val="18"/>
          <w:color w:val="auto"/>
        </w:rPr>
      </w:pPr>
    </w:p>
    <w:p>
      <w:pPr>
        <w:jc w:val="both"/>
        <w:ind w:left="960" w:hanging="316"/>
        <w:spacing w:after="0" w:line="256"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Sold Pursuant to this Agreement</w:t>
      </w:r>
      <w:r>
        <w:rPr>
          <w:rFonts w:ascii="Times New Roman" w:cs="Times New Roman" w:eastAsia="Times New Roman" w:hAnsi="Times New Roman"/>
          <w:sz w:val="18"/>
          <w:szCs w:val="18"/>
          <w:color w:val="auto"/>
        </w:rPr>
        <w:t>. The Securities have been duly authorized for issuance and sale and, when issued and paid for, will be validly issued; the Common Stock underlying the Notes has been duly authorized for issuance and sale and, when issued and paid for, will be validly issued, fully paid and non-assessable; the holders of the Securities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 required to be taken for the authorization, issuance and sale of the Securities has been duly and validly taken.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SEC Reports, no 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8" w:name="page9"/>
    <w:bookmarkEnd w:id="8"/>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and each subscription agreement to be entered into with each Investor has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89" w:lineRule="exact"/>
        <w:rPr>
          <w:sz w:val="20"/>
          <w:szCs w:val="20"/>
          <w:color w:val="auto"/>
        </w:rPr>
      </w:pPr>
    </w:p>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xml:space="preserve"> The execution, delivery and performance by the Company of this Agreement, the consummation by the Company of the transactions herein contemplated and the compliance by the Company with the terms 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Certificate of Incorporation (as the same may be amended or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the by-laws of the Company; or (iii) violate any existing applicable law, rule, regulation, judgment, order or decree of any governmental agency or court, domestic or foreign, having jurisdiction over the Company or any of its assets or businesses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as of the date hereof.</w:t>
      </w:r>
    </w:p>
    <w:p>
      <w:pPr>
        <w:spacing w:after="0" w:line="192"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Except as set forth in the SEC Reports,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 in violation of any term or provision of its Charter or by-laws, or (ii) in violation of any franchise, license, permit, applicable law, rule, regulation, judgment or decree of any Governmental Entity applicable to the Company.</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64" w:hanging="316"/>
        <w:spacing w:after="0" w:line="266"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Company and its subsidiaries each has all requisite corporate power and authority, and has all necessary authorizations, approvals, orders, licenses, certificates and permits of and from all governmental regulatory officials and bodies that it needs as of the date hereof to conduct its business as currently operated.</w:t>
      </w:r>
    </w:p>
    <w:p>
      <w:pPr>
        <w:spacing w:after="0" w:line="175" w:lineRule="exact"/>
        <w:rPr>
          <w:rFonts w:ascii="Times New Roman" w:cs="Times New Roman" w:eastAsia="Times New Roman" w:hAnsi="Times New Roman"/>
          <w:sz w:val="18"/>
          <w:szCs w:val="18"/>
          <w:color w:val="auto"/>
        </w:rPr>
      </w:pPr>
    </w:p>
    <w:p>
      <w:pPr>
        <w:jc w:val="both"/>
        <w:ind w:left="964" w:hanging="316"/>
        <w:spacing w:after="0" w:line="258" w:lineRule="auto"/>
        <w:tabs>
          <w:tab w:leader="none" w:pos="9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except with respect to applicable federal and state securities laws.</w:t>
      </w:r>
    </w:p>
    <w:p>
      <w:pPr>
        <w:spacing w:after="0" w:line="183"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to the Company’s knowledge, threatened against, or involving the Company which has not been disclosed in the SEC Reports except any which, singularly or in the aggregate, would not have or reasonably be expected to result in a Material Adverse Change.</w:t>
      </w:r>
    </w:p>
    <w:p>
      <w:pPr>
        <w:spacing w:after="0" w:line="175"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2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organized and is validly existing as a corporation and is in good standing under the laws of the State of Delaware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8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with, to the Company’s knowledge, reputable insurers, and in such amounts and covering such risks which the Company believes are reasonably adequate, and all such insurance is in full force and effect. The Company has no reason to believe that it will not be able (i) to renew its existing insurance coverage as and when such policies expire or (ii) to obtain comparable coverage from similar institutions as may be necessary or appropriate to conduct its business as now conducted and at a cost that would not result in a Material Adverse Change.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to the Company’s knowledge, any director, officer, agent, employee or affiliate of the Company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Compliance with OFAC</w:t>
      </w:r>
      <w:r>
        <w:rPr>
          <w:rFonts w:ascii="Times New Roman" w:cs="Times New Roman" w:eastAsia="Times New Roman" w:hAnsi="Times New Roman"/>
          <w:sz w:val="18"/>
          <w:szCs w:val="18"/>
          <w:color w:val="auto"/>
        </w:rPr>
        <w:t>. Neither of the Company nor, to the Company’s knowledge, any director, officer, agent, employee or affiliate of the Company or any other person acting on behalf of the Company, is currently subject to any U.S. sanctions administered by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The operations of the Company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rules, regulations or guidelines, issued, administered or enforced by any Governmental Entity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Governmental Entity involving the Company with respect to the Money Laundering Laws is pending or, to the knowledge of the Company, threatened.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P.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Dawson or to Placement Agent Counsel shall be deemed a representation and warranty by the Company to the Placement Agents as to the matters covered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Except as disclosed in the SEC Reports, the Company has no direct or indirect subsidiaries.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R.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 party transactions involving the Company or any other person required to be described in the SEC Reports that have not been described as required.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qualifications of the persons serving as members of the Company’s board of director and the overall composition of the Company’s board of directors comply with the Exchange Act, the rules and regulations thereunder (the “</w:t>
      </w:r>
      <w:r>
        <w:rPr>
          <w:rFonts w:ascii="Times New Roman" w:cs="Times New Roman" w:eastAsia="Times New Roman" w:hAnsi="Times New Roman"/>
          <w:sz w:val="18"/>
          <w:szCs w:val="18"/>
          <w:u w:val="single" w:color="auto"/>
          <w:color w:val="auto"/>
        </w:rPr>
        <w:t>Exchange Act Regulations</w:t>
      </w:r>
      <w:r>
        <w:rPr>
          <w:rFonts w:ascii="Times New Roman" w:cs="Times New Roman" w:eastAsia="Times New Roman" w:hAnsi="Times New Roman"/>
          <w:sz w:val="18"/>
          <w:szCs w:val="18"/>
          <w:color w:val="auto"/>
        </w:rPr>
        <w:t>”), the Sarbanes-Oxley Act of 2002 and the rules promulgated thereunder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applicable to the Company.</w:t>
      </w:r>
    </w:p>
    <w:p>
      <w:pPr>
        <w:spacing w:after="0" w:line="17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 w:name="page11"/>
    <w:bookmarkEnd w:id="10"/>
    <w:p>
      <w:pPr>
        <w:ind w:left="4"/>
        <w:spacing w:after="0"/>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Sarbanes-Oxley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964" w:hanging="316"/>
        <w:spacing w:after="0" w:line="261"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has developed and currently maintains disclosure controls and procedures that will comply with Rule 13a-15 or 15d-15 under the Exchange Act Regulations applicable to it,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spacing w:after="0" w:line="179" w:lineRule="exact"/>
        <w:rPr>
          <w:rFonts w:ascii="Times New Roman" w:cs="Times New Roman" w:eastAsia="Times New Roman" w:hAnsi="Times New Roman"/>
          <w:sz w:val="18"/>
          <w:szCs w:val="18"/>
          <w:color w:val="auto"/>
        </w:rPr>
      </w:pPr>
    </w:p>
    <w:p>
      <w:pPr>
        <w:jc w:val="both"/>
        <w:ind w:left="964" w:hanging="316"/>
        <w:spacing w:after="0" w:line="266" w:lineRule="auto"/>
        <w:tabs>
          <w:tab w:leader="none" w:pos="96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is in material compliance with the provisions of the Sarbanes-Oxley Act applicable to it, and has implemented or will implement such programs and taken reasonable steps to ensure the Company’s future compliance (not later than the relevant statutory and regulatory deadlines therefor) with all of the material provisions of the Sarbanes-Oxley Act.</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he Company maintains systems of “internal control over financial reporting” (as defined under Rules 13a-15 and 15d-</w:t>
      </w:r>
    </w:p>
    <w:p>
      <w:pPr>
        <w:spacing w:after="0" w:line="27" w:lineRule="exact"/>
        <w:rPr>
          <w:rFonts w:ascii="Times New Roman" w:cs="Times New Roman" w:eastAsia="Times New Roman" w:hAnsi="Times New Roman"/>
          <w:sz w:val="18"/>
          <w:szCs w:val="18"/>
          <w:color w:val="auto"/>
        </w:rPr>
      </w:pPr>
    </w:p>
    <w:p>
      <w:pPr>
        <w:jc w:val="both"/>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under the Exchange Act Regulations) that comply with the requirements of the Exchange Act and have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is not aware of any material weaknesses in its internal controls. The Company’s Auditors and the Audit Committee of the Board of Directors of the Company have been advised of: (i) all significant deficiencies and material weaknesses, if any,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if any, known to the Company’s management, whether or not material, that involves management or other employees who have a significant role in the Company’s internal controls over financial reporting.</w:t>
      </w:r>
    </w:p>
    <w:p>
      <w:pPr>
        <w:spacing w:after="0" w:line="191"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Investment Company Status</w:t>
      </w:r>
      <w:r>
        <w:rPr>
          <w:rFonts w:ascii="Times New Roman" w:cs="Times New Roman" w:eastAsia="Times New Roman" w:hAnsi="Times New Roman"/>
          <w:sz w:val="18"/>
          <w:szCs w:val="18"/>
          <w:color w:val="auto"/>
        </w:rPr>
        <w:t>. The Company is not and, after giving effect to the Offering and the application of the proceeds thereof as described in the SEC Reports, will not be, required to register as an “investment company,” as defined in the Investment Company Act of 1940, as amended.</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Except as set forth in the SEC Reports, no labor dispute with the employees of the Company exists or, to the knowledge of the Company, is imminent.</w:t>
      </w:r>
    </w:p>
    <w:p>
      <w:pPr>
        <w:spacing w:after="0" w:line="161" w:lineRule="exact"/>
        <w:rPr>
          <w:rFonts w:ascii="Times New Roman" w:cs="Times New Roman" w:eastAsia="Times New Roman" w:hAnsi="Times New Roman"/>
          <w:sz w:val="18"/>
          <w:szCs w:val="18"/>
          <w:color w:val="auto"/>
        </w:rPr>
      </w:pPr>
    </w:p>
    <w:p>
      <w:pPr>
        <w:jc w:val="both"/>
        <w:ind w:left="4" w:hanging="4"/>
        <w:spacing w:after="0" w:line="253" w:lineRule="auto"/>
        <w:tabs>
          <w:tab w:leader="none" w:pos="23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The Company and its subsidiaries own or possess or can acquire on reasonable terms adequate rights to use all patents, patent rights, licenses, inventions, copyrights, know-how (including trade secrets and other unpatented and/or unpatentable proprietary or confidential information, systems or procedures), trademarks, service marks, trade names and other intellectual property (collectively, “</w:t>
      </w:r>
      <w:r>
        <w:rPr>
          <w:rFonts w:ascii="Times New Roman" w:cs="Times New Roman" w:eastAsia="Times New Roman" w:hAnsi="Times New Roman"/>
          <w:sz w:val="18"/>
          <w:szCs w:val="18"/>
          <w:u w:val="single" w:color="auto"/>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necessary to carry on the business of the Company and its subsidiaries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Neither the Company nor any subsidiary has received any written notice of any infringement of, or conflict with any asserted rights of others with respect to any Intellectual Property which would render any Intellectual Property invalid or inadequate to protect the interest of the Company or any of its subsidiaries. The Company and its subsidiaries have taken commercially reasonable steps in accordance with normal industry practice to maintain the confidentiality of its trade secrets and other confidential information, and to secure interests in the Company Intellectual Property developed by their employees, consultants, agents and contractors in the course of their service to the Company and its subsidiaries. No government funding, facilities or resources of a university, college, other educational institution or research center or funding from third parties was used in the development of any Company Intellectual Property that is owned or purported to be owned by the Company or any of its subsidiaries, and no governmental agency or body, university, college, other educational institution or research center has any claim or right in or to any Company Intellectual Property that is owned or purported to be owned by the Company or any of its subsidiaries.</w:t>
      </w:r>
    </w:p>
    <w:p>
      <w:pPr>
        <w:spacing w:after="0" w:line="1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1" w:name="page12"/>
    <w:bookmarkEnd w:id="11"/>
    <w:p>
      <w:pPr>
        <w:jc w:val="both"/>
        <w:ind w:left="4"/>
        <w:spacing w:after="0" w:line="253" w:lineRule="auto"/>
        <w:rPr>
          <w:sz w:val="20"/>
          <w:szCs w:val="20"/>
          <w:color w:val="auto"/>
        </w:rPr>
      </w:pPr>
      <w:r>
        <w:rPr>
          <w:rFonts w:ascii="Times New Roman" w:cs="Times New Roman" w:eastAsia="Times New Roman" w:hAnsi="Times New Roman"/>
          <w:sz w:val="18"/>
          <w:szCs w:val="18"/>
          <w:color w:val="auto"/>
        </w:rPr>
        <w:t xml:space="preserve">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each have filed all returns (as hereinafter defined) required to be filed with taxing authorities prior to the date hereof or has duly obtained extensions of time for the filing thereof. The Company and its subsidiaries have each paid all taxes (as hereinafter defined) shown as due on such returns that were filed and has paid all taxes imposed on or assessed against the Company and its subsidiaries. The provisions for taxes payable, if any, shown on the financial statements filed with or as part of the SEC Reports are sufficient for all accrued and unpaid taxes, whether or not disputed, and for all periods to and including the dates of such consolidated financial statements. No issues have been raised (and are currently pending) by any taxing authority in connection with any of the returns or taxes asserted as due from the Company, and no waivers of statutes of limitation with respect to the returns or collection of taxes have been given by or requested from the Company.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190"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 xml:space="preserve">Z. </w:t>
      </w:r>
      <w:r>
        <w:rPr>
          <w:rFonts w:ascii="Times New Roman" w:cs="Times New Roman" w:eastAsia="Times New Roman" w:hAnsi="Times New Roman"/>
          <w:sz w:val="18"/>
          <w:szCs w:val="18"/>
          <w:u w:val="single" w:color="auto"/>
          <w:color w:val="auto"/>
        </w:rPr>
        <w:t>Employee Benefit Laws</w:t>
      </w:r>
      <w:r>
        <w:rPr>
          <w:rFonts w:ascii="Times New Roman" w:cs="Times New Roman" w:eastAsia="Times New Roman" w:hAnsi="Times New Roman"/>
          <w:sz w:val="18"/>
          <w:szCs w:val="18"/>
          <w:color w:val="auto"/>
        </w:rPr>
        <w:t>. The operations of the Company and its subsidiaries are and have been conducted at all times in material compliance with the Employee Retirement Income Security Act of 1974, as amended,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Employee Benefit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its subsidiaries with respect to the Employee Benefit Laws is pending or, to the knowledge of the Company, threatened.</w:t>
      </w:r>
    </w:p>
    <w:p>
      <w:pPr>
        <w:spacing w:after="0" w:line="183" w:lineRule="exact"/>
        <w:rPr>
          <w:sz w:val="20"/>
          <w:szCs w:val="20"/>
          <w:color w:val="auto"/>
        </w:rPr>
      </w:pPr>
    </w:p>
    <w:p>
      <w:pPr>
        <w:jc w:val="both"/>
        <w:ind w:left="4" w:hanging="4"/>
        <w:spacing w:after="0" w:line="252" w:lineRule="auto"/>
        <w:tabs>
          <w:tab w:leader="none" w:pos="3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its subsidiaries each: (A) is and at all times has been in compliance with all statutes, rules, or regulations applicable to its business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except as would not, individually or in the aggregate, reasonably be expected to have a Material Adverse Change; (B) has not received any correspondence from any Governmental Entity alleging or asserting noncompliance with any Applicable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(C) possesses all material Authorizations and such Authorizations are valid and in full force and effect and the Company is not in material violation of any term of any such Authorizations, in each case except as would not, individually or in the aggregate, reasonably be expected to have a Material Adverse Change; (D) has not received written notice of any claim, action, suit, proceeding, hearing, enforcement, investigation, arbitration or other action from any Governmental Entity or third party alleging that any product operation or activity is in violation of any Applicable Laws or Authorizations and has no knowledge that any such Governmental Entity or third party is considering any such claim, litigation, arbitration, action, suit, investigation or proceeding; (E) has not received written notice that any Governmental Entity has taken, is taking or intends to take action to limit, suspend, modify or revoke any Authorizations;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w:t>
      </w:r>
    </w:p>
    <w:p>
      <w:pPr>
        <w:spacing w:after="0" w:line="195"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Industry Data</w:t>
      </w:r>
      <w:r>
        <w:rPr>
          <w:rFonts w:ascii="Times New Roman" w:cs="Times New Roman" w:eastAsia="Times New Roman" w:hAnsi="Times New Roman"/>
          <w:sz w:val="18"/>
          <w:szCs w:val="18"/>
          <w:color w:val="auto"/>
        </w:rPr>
        <w:t>. The statistical and market-related data included in the SEC Reports are based on or derived from sources that the Company reasonably and in good faith believes are reliable and accurate or represent the Company’s good faith estimates that are made on the basis of data derived from such sources.</w:t>
      </w:r>
    </w:p>
    <w:p>
      <w:pPr>
        <w:spacing w:after="0" w:line="17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2" w:name="page13"/>
    <w:bookmarkEnd w:id="12"/>
    <w:p>
      <w:pPr>
        <w:jc w:val="both"/>
        <w:ind w:left="4" w:hanging="4"/>
        <w:spacing w:after="0" w:line="258" w:lineRule="auto"/>
        <w:tabs>
          <w:tab w:leader="none" w:pos="3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Securities</w:t>
      </w:r>
      <w:r>
        <w:rPr>
          <w:rFonts w:ascii="Times New Roman" w:cs="Times New Roman" w:eastAsia="Times New Roman" w:hAnsi="Times New Roman"/>
          <w:sz w:val="18"/>
          <w:szCs w:val="18"/>
          <w:color w:val="auto"/>
        </w:rPr>
        <w:t>. The Company owns no “margin securities” as that term is defined in Regulation U of the Board of Governors of the Federal Reserve System (the “</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shares of Common Stock to be considered a “purpose credit” within the meanings of Regulation T, U or X of the Federal Reserve Board.</w:t>
      </w:r>
    </w:p>
    <w:p>
      <w:pPr>
        <w:spacing w:after="0" w:line="183"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commercially reasonable efforts to maintain the listing of the shares of Common Stock (including the Common Stock underlying the Notes) issued to the Investors on a national securities exchange for at least five years from the date of this Agreement.</w:t>
      </w:r>
    </w:p>
    <w:p>
      <w:pPr>
        <w:spacing w:after="0" w:line="17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Except set forth in the SEC Reports, the Company shall use its commercially best effort to cure any identified material weaknesses and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5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Duties</w:t>
      </w:r>
      <w:r>
        <w:rPr>
          <w:rFonts w:ascii="Times New Roman" w:cs="Times New Roman" w:eastAsia="Times New Roman" w:hAnsi="Times New Roman"/>
          <w:sz w:val="18"/>
          <w:szCs w:val="18"/>
          <w:color w:val="auto"/>
        </w:rPr>
        <w:t>. The Company acknowledges and agrees that the Placement Agent’s responsibility to the Company is solely contractual in nature and that neither the Placement Agent nor its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3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Qualifications</w:t>
      </w:r>
      <w:r>
        <w:rPr>
          <w:rFonts w:ascii="Times New Roman" w:cs="Times New Roman" w:eastAsia="Times New Roman" w:hAnsi="Times New Roman"/>
          <w:sz w:val="18"/>
          <w:szCs w:val="18"/>
          <w:color w:val="auto"/>
        </w:rPr>
        <w:t>. The Company shall use its best efforts, in cooperation with the Placement Agent, if necessary, to qualify the Securities for offering and sale under the applicable securities laws of such states and other jurisdictions (domestic or foreign) as the Placement Agent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87" w:lineRule="exact"/>
        <w:rPr>
          <w:rFonts w:ascii="Times New Roman" w:cs="Times New Roman" w:eastAsia="Times New Roman" w:hAnsi="Times New Roman"/>
          <w:sz w:val="18"/>
          <w:szCs w:val="18"/>
          <w:color w:val="auto"/>
        </w:rPr>
      </w:pPr>
    </w:p>
    <w:p>
      <w:pPr>
        <w:ind w:left="4" w:right="20" w:hanging="4"/>
        <w:spacing w:after="0" w:line="282" w:lineRule="auto"/>
        <w:tabs>
          <w:tab w:leader="none" w:pos="2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of its affiliates, nor any person acting on its or their behalf, has engaged in any form of general solicitation or general advertising (within the meaning of Regulation D) in connection with the offer or sale of the Securities.</w:t>
      </w:r>
    </w:p>
    <w:p>
      <w:pPr>
        <w:spacing w:after="0" w:line="161" w:lineRule="exact"/>
        <w:rPr>
          <w:rFonts w:ascii="Times New Roman" w:cs="Times New Roman" w:eastAsia="Times New Roman" w:hAnsi="Times New Roman"/>
          <w:sz w:val="18"/>
          <w:szCs w:val="18"/>
          <w:color w:val="auto"/>
        </w:rPr>
      </w:pPr>
    </w:p>
    <w:p>
      <w:pPr>
        <w:jc w:val="both"/>
        <w:ind w:left="4" w:hanging="4"/>
        <w:spacing w:after="0" w:line="256" w:lineRule="auto"/>
        <w:tabs>
          <w:tab w:leader="none" w:pos="2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None of the Company or any of its affiliates, nor any Person acting on their behalf has, directly or indirectly, made any offers or sales of any security or solicited any offers to buy any security, under circumstances that would require registration of the issuance of any of the Securities under the Securities Act, whether through integration with prior offerings or otherwise, or cause this offering of the Securities to require approval of stockholders of the Company under any applicable stockholder approval provisions. None of the Company, its affiliates, nor any person acting on their behalf will take any action or steps that would require registration of the issuance of any of the Securities under the Securities Act or cause the offering of any of the Securities to be integrated with other offerings of securities of the Company.</w:t>
      </w:r>
    </w:p>
    <w:p>
      <w:pPr>
        <w:spacing w:after="0" w:line="187"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3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So long as any of the Notes remain outstanding, the Company shall take all action necessary to at all times have authorized, and reserved for the purpose of issuance, no less than 200% of the maximum number of shares of Common Stock issuable upon conversion or exercise of all the Notes and without regard to any limitations on the conversion of the Notes set forth therein</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31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D Compliance</w:t>
      </w:r>
      <w:r>
        <w:rPr>
          <w:rFonts w:ascii="Times New Roman" w:cs="Times New Roman" w:eastAsia="Times New Roman" w:hAnsi="Times New Roman"/>
          <w:sz w:val="18"/>
          <w:szCs w:val="18"/>
          <w:color w:val="auto"/>
        </w:rPr>
        <w:t>. None of the Company or the Company’s directors, executive officers or, to the Company’s knowledge, its affiliates is a “bad actor” as defined in Rule 506(d) of the Securities Act.</w:t>
      </w:r>
    </w:p>
    <w:p>
      <w:pPr>
        <w:spacing w:after="0" w:line="16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3" w:name="page14"/>
    <w:bookmarkEnd w:id="13"/>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Obligations of the Placement Agent.</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the Placement Agent hereunder shall be subject to the accuracy of the representations and warranties on the part of the Company set forth in Section 7 hereof, in each case as of the date hereof and as of each Closing Date as though then made, to the timely performance by each of the Company of its covenants and other obligations hereunder on and as of such dates, and to each of the following additional conditions:</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Form D and Blue Sky</w:t>
      </w:r>
      <w:r>
        <w:rPr>
          <w:rFonts w:ascii="Times New Roman" w:cs="Times New Roman" w:eastAsia="Times New Roman" w:hAnsi="Times New Roman"/>
          <w:sz w:val="18"/>
          <w:szCs w:val="18"/>
          <w:color w:val="auto"/>
        </w:rPr>
        <w:t>. The Company shall file a Form D with respect to the Securities as required under Regulation D and to provide a copy thereof to Placement Agent promptly after such filing. The Company shall, on or before the Closing Date, take such action as the Company shall reasonably determine is necessary in order to obtain an exemption for, or to, qualify the Securities for sale to the Investors at the Closing pursuant to this Agreement under applicable securities or “blue sky” laws of the states of the United States (or to obtain an exemption from such qualification), and shall provide evidence of any such action so taken to the Placement Agent on or prior to the Closing Date. Without limiting any other obligation of the Company under this Agreement, the Company shall timely make all filings and reports relating to the offer and sale of the Securities required under all applicable securities laws (including, without limitation, all applicable federal securities laws and all applicable “blue sky” laws), and the Company shall comply with all applicable federal, state, local and foreign laws, statutes, rules, regulations and the like relating to the offering and sale of the Securities to the Investors.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20" w:hanging="316"/>
        <w:spacing w:after="0" w:line="254"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The Company shall have furnished to the Placement Agent a certificate, dated the Closing Date, of its Chief Executive Officer, and its Chief Financial Officer stating that (i) to their knowledge after reasonable investigation, as of the Closing Date, the representations and warranties of the Company in this Agreement are true and correct and the Company has complied with all agreements and satisfied all conditions on its part to be performed or satisfied hereunder at or prior to the Closing Date, and (ii) there has not been, subsequent to September 30, 2025, any Material Adverse Change in the financial position or results of operations of the Company, or any change or development that, singularly or in the aggregate, would involve a Material Adverse Change or a prospective Material Adverse Change, in or affecting the condition (financial or otherwise), results of operations, business, assets or prospects of the Company.</w:t>
      </w:r>
    </w:p>
    <w:p>
      <w:pPr>
        <w:spacing w:after="0" w:line="191"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At of the Closing Date the Placement Agent shall have received a certificate of the Company signed by the Secretary of the Company, dated the Closing Date, certifying: (i) that each of the Charter and Bylaws is true and complete, has not been modified and is in full force and effect; (ii) that the resolutions of the Company’s Board of Directors relating to the Offering are in full force and effect and have not been modified; (iii) the good standing of the Company and its subsidiaries; and (iv) as to the incumbency of the officers of the Company. The documents referred to in such certificate shall be attached to such certificate.</w:t>
      </w:r>
    </w:p>
    <w:p>
      <w:pPr>
        <w:spacing w:after="0" w:line="183"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8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At the Closing Date, Placement Agent Counsel shall have been furnished with such documents and opinions as they may require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Placement Agent and Placement Agent Counsel.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 Procedures.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2" w:lineRule="auto"/>
        <w:tabs>
          <w:tab w:leader="none" w:pos="89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Placement Agent</w:t>
      </w:r>
      <w:r>
        <w:rPr>
          <w:rFonts w:ascii="Times New Roman" w:cs="Times New Roman" w:eastAsia="Times New Roman" w:hAnsi="Times New Roman"/>
          <w:sz w:val="18"/>
          <w:szCs w:val="18"/>
          <w:color w:val="auto"/>
        </w:rPr>
        <w:t>. The Company agrees to indemnify and hold harmless the Placement Agent, its affiliates and each person controlling such Placement Agent (within the meaning of Section 15 of the Securities Act), and the directors, officers, agents and employees of the Placement Agent, its affiliates and each such controlling person (the Placement Agent, and each such entity or person hereafter is referred to as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fees and expenses (including the reasonable fees and expenses of counsel for the Indemnified Persons, except as otherwise expressly provided in this Agreement)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and agrees to advance payment of such Expenses as they are incurred by an Indemnified Person in investigating, preparing, pursuing or defending any actions, whether or not any Indemnified Person is a party thereto, arising out of or based upon any untrue statement or alleged untrue statement of a material fact contained in (i) any materials or information provided to investors by, or with the approval of, the Company in connection with the marketing of the Offering, including any term sheets or “road show” or investor presentations made to investors by the Company (whether in person or electronically); or (ii) any application or other document or written communication (in this Section 9, collectively called “application”) executed by the Company or based upon written information furnished by the Company in any jurisdiction in order to qualify the Securities under the securities laws thereof or to file for an exemption from such requirement or filed with the Commission, any state securities commission or agency, any national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information provided to the Company in writing specifically for use in an application (the “</w:t>
      </w:r>
      <w:r>
        <w:rPr>
          <w:rFonts w:ascii="Times New Roman" w:cs="Times New Roman" w:eastAsia="Times New Roman" w:hAnsi="Times New Roman"/>
          <w:sz w:val="18"/>
          <w:szCs w:val="18"/>
          <w:u w:val="single" w:color="auto"/>
          <w:color w:val="auto"/>
        </w:rPr>
        <w:t>Placement Agent’s Information</w:t>
      </w:r>
      <w:r>
        <w:rPr>
          <w:rFonts w:ascii="Times New Roman" w:cs="Times New Roman" w:eastAsia="Times New Roman" w:hAnsi="Times New Roman"/>
          <w:sz w:val="18"/>
          <w:szCs w:val="18"/>
          <w:color w:val="auto"/>
        </w:rPr>
        <w:t>”). The Company also agrees to reimburse each Indemnified Person for all Expenses as they are incurred in connection with such Indemnified Person’s enforcement of his or its rights under this Agreement.</w:t>
      </w:r>
    </w:p>
    <w:p>
      <w:pPr>
        <w:spacing w:after="0" w:line="191" w:lineRule="exact"/>
        <w:rPr>
          <w:rFonts w:ascii="Times New Roman" w:cs="Times New Roman" w:eastAsia="Times New Roman" w:hAnsi="Times New Roman"/>
          <w:sz w:val="18"/>
          <w:szCs w:val="18"/>
          <w:color w:val="auto"/>
        </w:rPr>
      </w:pPr>
    </w:p>
    <w:p>
      <w:pPr>
        <w:jc w:val="both"/>
        <w:ind w:left="660" w:hanging="4"/>
        <w:spacing w:after="0" w:line="251" w:lineRule="auto"/>
        <w:tabs>
          <w:tab w:leader="none" w:pos="89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Upon receipt by an Indemnified Person of actual notice of an action against such Indemnified Person with respect to which indemnity may reasonably be expected to be sought under this Agreement, such Indemnified Person shall promptly notify the Company in writing; provided that failure by any Indemnified Person so to notify the Company shall not relieve the Company from any obligation or liability which the Company may have on account of this Section 9 or otherwise to such Indemnified Person. The Company shall, if requested by the Placement Agent, assume the defense of any such action (including the employment of counsel designated by the Placement Agent and reasonably satisfactory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separate counsel designated by the Placement Agent for the benefit of the Placement Agent and the other Indemnified Persons or (ii) such Indemnified Person shall have been advised that in the opinion of counsel that there is an actual or potential conflict of interest that prevents (or makes it imprudent for) the counsel designated by the Placement Agent and engaged by the Company for the purpose of representing the Indemnified Person, to represent both such Indemnified Person and any other person represented or proposed to be represented by such counsel. The Company shall not be liable for any settlement of any action effected without its written consent (which shall not be unreasonably withheld). In addition, the Company shall not, without the prior written consent of the Placement Agent, settle, compromise or consent to the entry of any judgment in or otherwise seek to terminate any pending or threatened action in respect of which advancement, reimbursement, indemnification or contribution may be sought hereunder (whether or not such Indemnified Person is a party thereto) unless such settlement, compromise, consent or termination (i) includes an unconditional release of each Indemnified Person, acceptable to such Indemnified Party, from all Liabilities arising out of such action for which indemnification or contribution may be sought hereunder and (ii) does not include a statement as to or an admission of fault, culpability or a failure to act, by or on behalf of any Indemnified Person. The advancement, reimbursement, indemnification and contribution obligations of the Company required hereby shall be made by periodic payments of the amount thereof during the course of the investigation or defense, as every Liability and Expense is incurred and is due and payable, and in such amounts as fully satisfy each and every Liability and Expense as it is incurred (and in no event later than 30 days following the date of any invoice therefore).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The Placement Agent agrees to indemnify and hold harmless the Company, its directors, its executive officers and persons who control the Company within the meaning of Section 15 of the Securities Act or Section 20 of the Exchange Act against any and all Liabilities, but only with respect to untrue statements or omissions, or alleged untrue statements or omissions made in the Subscription Documents or any amendment or supplement thereto, in reliance upon, and in strict conformity with, the Placement Agent’s Information. In case any action shall be brought against the Company or any other person so indemnified based on the Subscription Documents or any amendment or supplement thereto, and in respect of which indemnity may be sought against the Placement Agent, the Placement Agent shall have the rights and duties given to the Company, and the Company and each other person so indemnified shall have the rights and duties given to the Placement Agent by the provisions of Section 9.B. The Company agrees promptly to notify the Placement Agent of the commencement of any litigation or proceedings against the Company or any of its executive officers, directors or any person, if any, who controls the Company within the meaning of Section 15 of the Securities Act or Section 20 of the Exchange Act, in connection with the issuance and sale of the Securities or in connection with the Subscription Documents.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In the event that a court of competent jurisdiction makes a finding that indemnity is unavailable to an Indemnified Person,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provided that in no event shall the Company contribute less than the amount necessary to ensure that all Indemnified Persons, in the aggregate, are not liable for any Liabilities and Expenses in excess of the amount of commissions actually received by the Placement Agent pursuant to this Agreement. The relative fault shall be determined by reference to, among other things, whether the untrue or alleged untrue statement of a material fact or the omission or alleged omission to state a material fact relates to information supplied by the Company on the one hand or the Placement Agent on the other and the parties’ relative intent, knowledge, access to information and opportunity to correct or prevent such statement or omission. The Company and the Placement Agent agree that it would not be just and equitable if contributions pursuant to this subsection (D) were determined by pro rata allocation or by any other method of allocation which does not take account of the equitable considerations referred to above in this subsection (D). For purposes of this paragraph, the relative benefits to the Company, on the one hand, and to the Placement Agent on the other hand, of the matters contemplated by this Agreement shall be deemed to be in the same proportion as: (a) the total value received by the Company in the Offering, whether or not such Offering is consummated, bears to (b) the commissions paid to the Placement Agent under this Agreement. Notwithstanding the above, no person guilty of fraudulent misrepresentation within the meaning of Section 11(f) of the Securities Act shall be entitled to contribution from a party who was not guilty of fraudulent misrepresentation.</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Limitation</w:t>
      </w:r>
      <w:r>
        <w:rPr>
          <w:rFonts w:ascii="Times New Roman" w:cs="Times New Roman" w:eastAsia="Times New Roman" w:hAnsi="Times New Roman"/>
          <w:sz w:val="18"/>
          <w:szCs w:val="18"/>
          <w:color w:val="auto"/>
        </w:rPr>
        <w:t>. 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to the extent that a court of competent jurisdiction has made a finding that Liabilities (and related Expenses) of the Company have resulted exclusively from such Indemnified Person’s gross negligence or willful misconduct in connection with any such advice, actions, inactions or services.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advancement, reimbursement, indemnity and contribution obligations set forth in this Section 9 shall remain in full force and effect regardless of any termination of, or the completion of any Indemnified Person’s services under or in connection with, this Agreement.</w:t>
      </w:r>
    </w:p>
    <w:p>
      <w:pPr>
        <w:spacing w:after="0" w:line="16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6" w:name="page17"/>
    <w:bookmarkEnd w:id="16"/>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Dawson’s Liability to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Dawson and the Company further agree that neither Dawson nor any of its affiliates or any of their respective officers, directors, controlling persons (within the meaning of Section 15 of the Securities Act or Section 20 of the Exchange Act), employees or agents shall have any liability to the Company, its security holders or creditors, or any person asserting claims on behalf of or in the right of the Company (whether direct or indirect, in contract or tort, for an act of negligence or otherwise) for any losses, fees, damages, liabilities, costs, expenses or equitable relief arising out of or relating to this Agreement or the Services rendered hereunder, except for losses, fees, damages, liabilities, costs or expenses that arise out of or are based on any action of or failure to act by Dawson and that are finally judicially determined to have resulted solely from the gross negligence or willful misconduct of Dawson.</w:t>
      </w:r>
    </w:p>
    <w:p>
      <w:pPr>
        <w:spacing w:after="0" w:line="18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Engagement to the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acknowledges that Dawson has been retained only by the Company, that Dawson is providing services hereunder as an independent contractor (and not in any fiduciary or agency capacity) and that the Company’s engagement of Dawson is not deemed to be on behalf of, and is not intended to confer rights upon, any shareholder, owner or partner of the Company or any other person not a party hereto as against Dawson or any of its affiliates, or any of its or their respective officers, directors, controlling persons (within the meaning of Section 15 of the Securities Act or Section 20 of the Exchange Act), employees or agents. Unless otherwise expressly agreed in writing by Dawson, no one other than the Company is authorized to rely upon any statement or conduct of Dawson in connection with this Agreement. The Company acknowledges that any recommendation or advice, written or oral, given by Dawson to the Company in connection with Dawson’s engagement is intended solely for the benefit and use of the Company’s management and directors in considering a possible Offering, and any such recommendation or advice is not on behalf of, and shall not confer any rights or remedies upon, any other person or be used or relied upon for any other purpose. Dawson shall not have the authority to make any commitment binding on the Company. The Company, in its sole discretion, shall have the right to reject any investor introduced to it by Dawson. The Company agrees that it will perform and comply with the covenants and other obligations set forth in any purchase agreement and related transaction documents between the Company and the Investors in the Offering, if any, and that Dawson will be entitled to rely on the representations, warranties, agreements and covenants of the Company contained in any such purchase agreement and related transaction documents as if such representations, warranties, agreements and covenants were made directly to Dawson by the Company, provided that no such representations, warranties, agreements and covenants shall in any way limit or modify the representations, warranties, agreements and covenants set forth in this Agreement.</w:t>
      </w:r>
    </w:p>
    <w:p>
      <w:pPr>
        <w:spacing w:after="0" w:line="196"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 supplement, modification or waiver of this Agreement shall be binding unless executed in writing by the party to be bound thereby. The failure of a party to exercise any right or remedy shall not be deemed or constitute a waiver of such right or remedy in the future. No waiver of any of the provisions of this Agreement shall be deemed or shall constitute a waiver of any other provision hereof (regardless of whether similar), nor shall any such waiver be deemed or constitute a continuing waiver unless otherwise expressly provided.</w:t>
      </w:r>
    </w:p>
    <w:p>
      <w:pPr>
        <w:spacing w:after="0" w:line="18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the consummation or public announcement of any Offering, Dawson shall have the right to disclose its participation in such Offering, including, without limitation, the placement at its cost of “tombstone” advertisements in financial and other newspapers and journals. Dawson agrees not to use any confidential information concerning the Company provided to Dawson by the Company for any purposes other than those contemplated under this Agreement.</w:t>
      </w:r>
    </w:p>
    <w:p>
      <w:pPr>
        <w:spacing w:after="0" w:line="18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various sections of this Agreement have been inserted for convenience of reference only and will not be deemed to be part of this Agreement.</w:t>
      </w:r>
    </w:p>
    <w:p>
      <w:pPr>
        <w:spacing w:after="0" w:line="162"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and, if executed in more than one counterpart, the executed counterparts shall each be deemed to be an original and all such counterparts shall together constitute one and the same instrument.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case any provision contained in this Agreement should be invalid, illegal or unenforceable in any respect, the validity, legality and enforceability of the remaining provisions contained herein will not in any way be affected or impaired thereby.</w:t>
      </w:r>
    </w:p>
    <w:p>
      <w:pPr>
        <w:spacing w:after="0" w:line="16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will furnish Dawson such written information as Dawson reasonably requests in connection with the performance of its services hereunder. The Company understands, acknowledges and agrees that, in performing its services hereunder, Dawson will use and rely entirely upon such information as well as publicly available information regarding the Company and other potential parties to an Offering and that Dawson does not assume responsibility for independent verification of the accuracy or completeness of any information, whether publicly available or otherwise furnished to it, concerning the Company or otherwise relevant to an Offering, including, without limitation, any financial information, forecasts or projections considered by Dawson in connection with the provision of its services.</w:t>
      </w:r>
    </w:p>
    <w:p>
      <w:pPr>
        <w:spacing w:after="0" w:line="18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(a) the Placement Agent has been retained solely to act as Placement Agent in connection with the sale of the Securities and that no fiduciary, advisory or agency relationship between the Company and the Placement Agent has been created in respect of any of the transactions contemplated by this Agreement, irrespective of whether the Placement Agent has advised or is advising the Company on other matters; (b) the price and other terms of the Securities set forth in this Agreement were established by the Company following discussions and arms-length negotiations with the Placement Agent and the Company is capable of evaluating and understanding and understands and accepts the terms, risks and conditions of the transactions contemplated by this Agreement; (c) it has been advised that the Placement Agent and its affiliates are engaged in a broad range of transactions that may involve interests that differ from those of the Company and that the Placement Agent has no obligation to disclose such interest and transactions to the Company by virtue of any fiduciary, advisory or agency relationship; and (d) it has been advised that the Placement Agent is acting, in respect of the transactions contemplated by this Agreement, solely for the benefit of the Placement Agent, and not on behalf of the Company.</w:t>
      </w:r>
    </w:p>
    <w:p>
      <w:pPr>
        <w:spacing w:after="0" w:line="18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Indemnities, Representations, Warranties, Etc.</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respective indemnities, covenants, agreements, representations, warranties and other statements of the Company and Placement Agent, as set forth in this Agreement or made by them respectively, pursuant to this Agreement, shall remain in full force and effect, regardless of any investigation made by or on behalf of the Placement Agents, the Company, the Purchasers or any person controlling any of them and shall survive delivery of and payment for the Securities. Notwithstanding any termination of this Agreement, including without limitation any termination pursuant to Section 5, the payment, reimbursement, indemnity, contribution and advancement agreements contained in Sections 2, 5, 9, and 10, respectively, and the Company’s covenants, representations, and warranties set forth in this Agreement shall not terminate and shall remain in full force and effect at all times. The indemnity and contribution provisions contained in Section 9 and the covenants, warranties and representations of the Company contained in this Agreement shall remain operative and in full force and effect regardless of (i) any termination of this Agreement, (ii) any investigation made by or on behalf of any Placement Agent, any person who controls any Placement Agent within the meaning of either Section 15 of the Securities Act or Section 20 of the Exchange Act or any affiliate of any Placement Agent, or by or on behalf of the Company, its directors or officers or any person who controls the Company within the meaning of either Section 15 of the Securities Act or Section 20 of the Exchange Act, and (iii) the issuance and delivery of the Securities. The Company and Placement Agent agree to notify each other of the commencement of any Proceeding against either of them promptly, and, in the case of the Company, against any of the Company’s officers or directors in connection with the issuance and sale of the Securities.</w:t>
      </w:r>
    </w:p>
    <w:p>
      <w:pPr>
        <w:spacing w:after="0" w:line="187"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 applicable to agreements made and to be fully performed therein. Any disputes that arise under this Agreement, even after the termination of this Agreement, will be heard only in the state or federal courts located in the City of New York, State of New York. The parties hereto expressly agree to submit themselves to the jurisdiction of the foregoing courts in the City of New York, State of New York. The parties hereto expressly waive any rights they may have to contest the jurisdiction, venue or authority of any court sitting in the City and State of New York.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5" w:lineRule="exact"/>
        <w:rPr>
          <w:rFonts w:ascii="Times New Roman" w:cs="Times New Roman" w:eastAsia="Times New Roman" w:hAnsi="Times New Roman"/>
          <w:sz w:val="18"/>
          <w:szCs w:val="18"/>
          <w:color w:val="auto"/>
        </w:rPr>
      </w:pPr>
    </w:p>
    <w:p>
      <w:pPr>
        <w:ind w:left="660" w:right="3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communications hereunder shall be in writing and shall be mailed, hand delivered or faxed and confirmed to the parties hereto as follows: If to the Company to the address set forth above, Attn: Chief Executive Officer and Chief Operating Officer</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Placement Agent:</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Dawson James Securities, Inc.</w:t>
      </w:r>
    </w:p>
    <w:p>
      <w:pPr>
        <w:spacing w:after="0" w:line="27" w:lineRule="exact"/>
        <w:rPr>
          <w:rFonts w:ascii="Times New Roman" w:cs="Times New Roman" w:eastAsia="Times New Roman" w:hAnsi="Times New Roman"/>
          <w:sz w:val="18"/>
          <w:szCs w:val="18"/>
          <w:color w:val="auto"/>
        </w:rPr>
      </w:pPr>
    </w:p>
    <w:p>
      <w:pPr>
        <w:ind w:left="660" w:right="79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North Federal Highway – 5th Floor Boca Raton, FL 33432</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Executive Officer</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Agreement shall not be modified or amended except in writing signed by Dawson and the Company. This Agreement shall be binding upon and inure to the benefit of both Dawson and the Company and their respective assigns, successors, and legal representatives. This Agreement constitutes the entire agreement of Dawson and the Company, and supersedes any prior agreements, with respect to the subject matter hereof. If any provision of this Agreement is determined to be invalid or unenforceable in any respect, such determination will not affect such provision in any other respect, and the remainder of this Agreement shall remain in full force and effect. This Agreement may be executed in counterparts (including facsimile or .pdf counterparts), each of which shall be deemed an original but all of which together shall constitute one and the same instrument.</w:t>
      </w:r>
    </w:p>
    <w:p>
      <w:pPr>
        <w:spacing w:after="0" w:line="18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will inure to the benefit of and be binding upon the parties hereto, and to the benefit of the employees, officers and directors and controlling persons referred to in Section 9 hereof, and to their respective successors, and personal representative, and, except as set forth in Section 9 of this Agreement, no other person will have any right or obligation hereunder or be considered a third-party beneficiary hereunder.</w:t>
      </w:r>
    </w:p>
    <w:p>
      <w:pPr>
        <w:spacing w:after="0" w:line="176"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Unenforceability.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acknowledges that in connection with the Offering of the Securities the Placement Agent: (i) has acted at arms-length, are not agents of, and owe no fiduciary duties to the Company or any other person, (ii) owes the Company only those duties and obligations set forth in this Agreement and (iii) may have interests that differ from those of the Company. The Company waives to the full extent permitted by applicable law any claims it may have against the Placement Agent arising from an alleged breach of fiduciary duty in connection with the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ind w:firstLine="648"/>
        <w:spacing w:after="0" w:line="282" w:lineRule="auto"/>
        <w:rPr>
          <w:sz w:val="20"/>
          <w:szCs w:val="20"/>
          <w:color w:val="auto"/>
        </w:rPr>
      </w:pPr>
      <w:r>
        <w:rPr>
          <w:rFonts w:ascii="Times New Roman" w:cs="Times New Roman" w:eastAsia="Times New Roman" w:hAnsi="Times New Roman"/>
          <w:sz w:val="18"/>
          <w:szCs w:val="18"/>
          <w:color w:val="auto"/>
        </w:rPr>
        <w:t>In acknowledgment that the foregoing correctly sets forth the understanding reached by Dawson and the Company, and intending to be legally bound, please sign in the space provided below, whereupon this letter shall constitute a binding Agreement as of the date executed.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22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By:</w:t>
        <w:tab/>
        <w:t>/s/ Robert J. Stubblefield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9832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tab/>
        <w:t>CFO &amp; Interim CEO &amp; President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Agreed and accepted as of the date first above written.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DAWSON JAMES SECURITIES, INC.</w:t>
      </w:r>
    </w:p>
    <w:p>
      <w:pPr>
        <w:spacing w:after="0" w:line="22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By:</w:t>
        <w:tab/>
        <w:t>/s/ Robert D. Keyser,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750570</wp:posOffset>
            </wp:positionH>
            <wp:positionV relativeFrom="paragraph">
              <wp:posOffset>17145</wp:posOffset>
            </wp:positionV>
            <wp:extent cx="29832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Name: Robert D. Keyser, Jr.</w:t>
      </w:r>
    </w:p>
    <w:p>
      <w:pPr>
        <w:spacing w:after="0" w:line="23"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March 16, 2026, between 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(a) capitalized terms that are not otherwise defined herein have the meanings given to such terms in the Note (as defined herein), and (b)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Equity Plan</w:t>
      </w:r>
      <w:r>
        <w:rPr>
          <w:rFonts w:ascii="Times New Roman" w:cs="Times New Roman" w:eastAsia="Times New Roman" w:hAnsi="Times New Roman"/>
          <w:sz w:val="18"/>
          <w:szCs w:val="18"/>
          <w:color w:val="auto"/>
        </w:rPr>
        <w:t>” means any employee benefit plan or agreement which has been approved by the board of directors of the Company prior to or subsequent to the date hereof pursuant to which shares of Common Stock, Options, or other securities of the Company may be issued to any employee, officer, consultant, or director for services provided to the Company in their capacity as such.</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means the closing of the purchase and sale of the Securities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Statement</w:t>
      </w:r>
      <w:r>
        <w:rPr>
          <w:rFonts w:ascii="Times New Roman" w:cs="Times New Roman" w:eastAsia="Times New Roman" w:hAnsi="Times New Roman"/>
          <w:sz w:val="18"/>
          <w:szCs w:val="18"/>
          <w:color w:val="auto"/>
        </w:rPr>
        <w:t xml:space="preserve">” means the Closing Statement in the form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ArentFox Schiff LLP.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Shares</w:t>
      </w:r>
      <w:r>
        <w:rPr>
          <w:rFonts w:ascii="Times New Roman" w:cs="Times New Roman" w:eastAsia="Times New Roman" w:hAnsi="Times New Roman"/>
          <w:sz w:val="18"/>
          <w:szCs w:val="18"/>
          <w:color w:val="auto"/>
        </w:rPr>
        <w:t>” means the Common Stock issuable upon conversion of the Note.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registering for resale all Conversion Shares has been declared effective by the Commission, (b) all of the Conversion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Conversion Shares is not an Affiliate of the Company or (d) all of the Conversion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Conversion Shares pursuant to such exemption which opinion shall be in form and substance reasonably acceptable to such holders.</w:t>
      </w:r>
    </w:p>
    <w:p>
      <w:pPr>
        <w:spacing w:after="0" w:line="19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Face Value</w:t>
      </w:r>
      <w:r>
        <w:rPr>
          <w:rFonts w:ascii="Times New Roman" w:cs="Times New Roman" w:eastAsia="Times New Roman" w:hAnsi="Times New Roman"/>
          <w:sz w:val="18"/>
          <w:szCs w:val="18"/>
          <w:color w:val="auto"/>
        </w:rPr>
        <w:t>” means the initial principal amount of the Notes equal to up to $11,764,705.88 in the aggregate, to be issued in three tranches as follows: (i) the Initial Tranche in an aggregate face amount of $3,529,411.76, (ii) the Second Tranche in an aggregate face amount of $588,235.29, and (iii) the Third Tranche in an aggregate face amount of $1,764,705.88, with subsequent tranches of up to $5,882,352.94 in the aggregate until December 31, 2026 upon mutual agreement between the Purchaser and the Company.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3.1(aa)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means the date that is twenty-four (24) months from the applicable Closing Date of each tranche.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or “Notes” means the unsecured convertible promissory notes issued hereunder in an initial principal amount equal to the applicable Face Value for each tranche,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purchase, or otherwise acquire shares of Common Stock or Common Stock Equivalents.</w:t>
      </w:r>
    </w:p>
    <w:p>
      <w:pPr>
        <w:spacing w:after="0" w:line="16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Discount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OID</w:t>
      </w:r>
      <w:r>
        <w:rPr>
          <w:rFonts w:ascii="Times New Roman" w:cs="Times New Roman" w:eastAsia="Times New Roman" w:hAnsi="Times New Roman"/>
          <w:sz w:val="18"/>
          <w:szCs w:val="18"/>
          <w:color w:val="auto"/>
        </w:rPr>
        <w:t>” means the discount from the Face Value at which each Note is sold to the Purchaser, equal to fifteen percent (15%).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Dawson James Securities, Inc.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Report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Conversion Shares.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Note and the Conversion Shares.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means such approval as may be required by the applicable rules and regulations of The Nasdaq Stock Market LLC (or any successor entity) from the shareholders of the Company with respect to (i) the issuance of all of the Conversion Shares upon the conversion of the Note in accordance with its terms (including adjustment provisions set forth therein) and (ii) any adjustment to the conversion price in the Note following any stock dividend, stock split or other share combination event.</w:t>
      </w:r>
    </w:p>
    <w:p>
      <w:pPr>
        <w:spacing w:after="0" w:line="18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 Approval Date</w:t>
      </w:r>
      <w:r>
        <w:rPr>
          <w:rFonts w:ascii="Times New Roman" w:cs="Times New Roman" w:eastAsia="Times New Roman" w:hAnsi="Times New Roman"/>
          <w:sz w:val="18"/>
          <w:szCs w:val="18"/>
          <w:color w:val="auto"/>
        </w:rPr>
        <w:t>” means February 9, 2026.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Note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Note, the Registration Rights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the transfer agent of the Company, and any successor transfer agent of the Company.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25" w:name="page26"/>
    <w:bookmarkEnd w:id="2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Closings</w:t>
      </w:r>
      <w:r>
        <w:rPr>
          <w:rFonts w:ascii="Times New Roman" w:cs="Times New Roman" w:eastAsia="Times New Roman" w:hAnsi="Times New Roman"/>
          <w:sz w:val="18"/>
          <w:szCs w:val="18"/>
          <w:color w:val="auto"/>
        </w:rPr>
        <w:t>. Subject to the terms and conditions set forth in this Agreement, the Company agrees to sell, and the Purchaser agrees to purchase, unsecured convertible promissory notes in an aggregate face amount of up to $11,764,705.88 to be issued in four or more tranches as follows: (i) the Initial Tranche in an aggregate face amount of $3,529,411.76, to be funded upon execution of the Transaction Documents; (ii) the Second Tranche in an aggregate face amount of $588,235.29, to be funded upon filing of the Registration Statement; and (iii) the Third Tranche in an aggregate face amount of $1,764,705.88, to be funded upon effectiveness of the Registration Statement. Subsequent tranches of up to $5,882,352.94 in the aggregate Face Value (each, a “</w:t>
      </w:r>
      <w:r>
        <w:rPr>
          <w:rFonts w:ascii="Times New Roman" w:cs="Times New Roman" w:eastAsia="Times New Roman" w:hAnsi="Times New Roman"/>
          <w:sz w:val="18"/>
          <w:szCs w:val="18"/>
          <w:u w:val="single" w:color="auto"/>
          <w:color w:val="auto"/>
        </w:rPr>
        <w:t>Subsequent Tranche</w:t>
      </w:r>
      <w:r>
        <w:rPr>
          <w:rFonts w:ascii="Times New Roman" w:cs="Times New Roman" w:eastAsia="Times New Roman" w:hAnsi="Times New Roman"/>
          <w:sz w:val="18"/>
          <w:szCs w:val="18"/>
          <w:color w:val="auto"/>
        </w:rPr>
        <w:t>”) may be funded until December 31, 2026 upon mutual agreement between the Purchaser and the Company. Each Note shall be purchased at a price reflecting the Original Issue Discount. Each Note shall bear interest at a rate of twelve percent (12%) per annum, shall mature on the Maturity Date, and shall be convertible into shares of Common Stock in accordance with its terms.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Initial Tranche, the purchase and sale of the Note (each such purchase and sale,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on the first (1st) Business Day following the date of this Agreement (such date, the “</w:t>
      </w:r>
      <w:r>
        <w:rPr>
          <w:rFonts w:ascii="Times New Roman" w:cs="Times New Roman" w:eastAsia="Times New Roman" w:hAnsi="Times New Roman"/>
          <w:sz w:val="18"/>
          <w:szCs w:val="18"/>
          <w:u w:val="single" w:color="auto"/>
          <w:color w:val="auto"/>
        </w:rPr>
        <w:t>Initial Closing Date</w:t>
      </w:r>
      <w:r>
        <w:rPr>
          <w:rFonts w:ascii="Times New Roman" w:cs="Times New Roman" w:eastAsia="Times New Roman" w:hAnsi="Times New Roman"/>
          <w:sz w:val="18"/>
          <w:szCs w:val="18"/>
          <w:color w:val="auto"/>
        </w:rPr>
        <w:t>”). With respect to the Second Tranche and Third Tranche, the</w:t>
      </w:r>
    </w:p>
    <w:p>
      <w:pPr>
        <w:jc w:val="both"/>
        <w:spacing w:after="0" w:line="239" w:lineRule="auto"/>
        <w:rPr>
          <w:sz w:val="20"/>
          <w:szCs w:val="20"/>
          <w:color w:val="auto"/>
        </w:rPr>
      </w:pPr>
      <w:r>
        <w:rPr>
          <w:rFonts w:ascii="Times New Roman" w:cs="Times New Roman" w:eastAsia="Times New Roman" w:hAnsi="Times New Roman"/>
          <w:sz w:val="18"/>
          <w:szCs w:val="18"/>
          <w:color w:val="auto"/>
        </w:rPr>
        <w:t>Closing shall occur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Purchaser’s receipt of a written notification from the Company that the respective condition precedent noted in the preceding paragraph for such tranche has been satisfied or at such other time as the Purchaser and the Company may mutually agree in writing (each such date, the “</w:t>
      </w:r>
      <w:r>
        <w:rPr>
          <w:rFonts w:ascii="Times New Roman" w:cs="Times New Roman" w:eastAsia="Times New Roman" w:hAnsi="Times New Roman"/>
          <w:sz w:val="18"/>
          <w:szCs w:val="18"/>
          <w:u w:val="single" w:color="auto"/>
          <w:color w:val="auto"/>
        </w:rPr>
        <w:t>Second Tranche Closing Date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Third Tranche Closing Date</w:t>
      </w:r>
      <w:r>
        <w:rPr>
          <w:rFonts w:ascii="Times New Roman" w:cs="Times New Roman" w:eastAsia="Times New Roman" w:hAnsi="Times New Roman"/>
          <w:sz w:val="18"/>
          <w:szCs w:val="18"/>
          <w:color w:val="auto"/>
        </w:rPr>
        <w:t>”, respectively). With respect to each Subsequent Tranche, the Closing shall occur at such time as the Purchaser and the Company may mutually agree (such date, an “</w:t>
      </w:r>
      <w:r>
        <w:rPr>
          <w:rFonts w:ascii="Times New Roman" w:cs="Times New Roman" w:eastAsia="Times New Roman" w:hAnsi="Times New Roman"/>
          <w:sz w:val="18"/>
          <w:szCs w:val="18"/>
          <w:u w:val="single" w:color="auto"/>
          <w:color w:val="auto"/>
        </w:rPr>
        <w:t>Additional Tranche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and together with the Second Tranche Closing Date and Third Tranche Closing Date, the “</w:t>
      </w:r>
      <w:r>
        <w:rPr>
          <w:rFonts w:ascii="Times New Roman" w:cs="Times New Roman" w:eastAsia="Times New Roman" w:hAnsi="Times New Roman"/>
          <w:sz w:val="18"/>
          <w:szCs w:val="18"/>
          <w:u w:val="single" w:color="auto"/>
          <w:color w:val="auto"/>
        </w:rPr>
        <w:t>Additional Closing Dates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u w:val="single" w:color="auto"/>
          <w:color w:val="auto"/>
        </w:rPr>
        <w:t>Additional Closing Date</w:t>
      </w:r>
      <w:r>
        <w:rPr>
          <w:rFonts w:ascii="Times New Roman" w:cs="Times New Roman" w:eastAsia="Times New Roman" w:hAnsi="Times New Roman"/>
          <w:sz w:val="18"/>
          <w:szCs w:val="18"/>
          <w:color w:val="auto"/>
        </w:rPr>
        <w:t>”, and together with the Initial Closing Date, the “</w:t>
      </w:r>
      <w:r>
        <w:rPr>
          <w:rFonts w:ascii="Times New Roman" w:cs="Times New Roman" w:eastAsia="Times New Roman" w:hAnsi="Times New Roman"/>
          <w:sz w:val="18"/>
          <w:szCs w:val="18"/>
          <w:u w:val="single" w:color="auto"/>
          <w:color w:val="auto"/>
        </w:rPr>
        <w:t>Closing Dates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In each case, the date on which such Closing occurs shall be referred to herein as the “Closing Date” for such tranche. On each Closing Date, the Purchaser shall deliver to the Company, via wire transfer of immediately available funds, the applicable Subscription Amount for such tranche, and the Company shall deliver to the Purchaser the applicable Note, and the Purchaser shall deliver the other items set forth in Section 2.2 deliverable at the applicable Closing.</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00" w:hanging="248"/>
        <w:spacing w:after="0"/>
        <w:tabs>
          <w:tab w:leader="none" w:pos="22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Initial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firstLine="2600"/>
        <w:spacing w:after="0" w:line="282" w:lineRule="auto"/>
        <w:tabs>
          <w:tab w:leader="none" w:pos="293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irrevocable letter of instructions to transfer agent, in a form reasonably acceptable to each Purchaser (the “</w:t>
      </w:r>
      <w:r>
        <w:rPr>
          <w:rFonts w:ascii="Times New Roman" w:cs="Times New Roman" w:eastAsia="Times New Roman" w:hAnsi="Times New Roman"/>
          <w:sz w:val="18"/>
          <w:szCs w:val="18"/>
          <w:u w:val="single" w:color="auto"/>
          <w:color w:val="auto"/>
        </w:rPr>
        <w:t>Transfer Agent Instruction</w:t>
      </w:r>
      <w:r>
        <w:rPr>
          <w:rFonts w:ascii="Times New Roman" w:cs="Times New Roman" w:eastAsia="Times New Roman" w:hAnsi="Times New Roman"/>
          <w:sz w:val="18"/>
          <w:szCs w:val="18"/>
          <w:color w:val="auto"/>
        </w:rPr>
        <w:t>”) duly executed by the Company and the Transfer Agent establishing a reserve for the Conversion Shares.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Inital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820" w:hanging="220"/>
        <w:spacing w:after="0"/>
        <w:tabs>
          <w:tab w:leader="none" w:pos="28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sz w:val="20"/>
          <w:szCs w:val="20"/>
          <w:color w:val="auto"/>
        </w:rPr>
      </w:pPr>
    </w:p>
    <w:p>
      <w:pPr>
        <w:ind w:left="2860" w:hanging="260"/>
        <w:spacing w:after="0"/>
        <w:tabs>
          <w:tab w:leader="none" w:pos="28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 and</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Agent Instruction, duly executed by such Purchaser.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Note, registered in the name of Purchaser, in the applicable Face Value, duly executed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 a legal opinion of Company Counsel, directed to the Placement Agent and the Purchasers, in a form reasonably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acceptable to the Placement Agent;</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(iii) the Company’s wire instructions, on Company letterhead and executed by the Chief Executive Officer or Chief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(iv) a duly executed Officer’s Certificate, substantially in the form acceptable to the Purchasers;</w:t>
      </w:r>
    </w:p>
    <w:p>
      <w:pPr>
        <w:spacing w:after="0" w:line="225" w:lineRule="exact"/>
        <w:rPr>
          <w:sz w:val="20"/>
          <w:szCs w:val="20"/>
          <w:color w:val="auto"/>
        </w:rPr>
      </w:pPr>
    </w:p>
    <w:p>
      <w:pPr>
        <w:ind w:left="2900" w:hanging="300"/>
        <w:spacing w:after="0"/>
        <w:tabs>
          <w:tab w:leader="none" w:pos="2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Secretary’s Certificate, substantially in the form acceptable to the Purchasers; and</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5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evidencing the formation and good standing of the Company and each of its Subsidiaries in each such entity’s jurisdiction of formation issued by the Secretary of State (or comparable office) of such jurisdiction of formation as of a date within ten (10) days of such Closing Date.</w:t>
      </w:r>
    </w:p>
    <w:p>
      <w:pPr>
        <w:spacing w:after="0" w:line="176" w:lineRule="exact"/>
        <w:rPr>
          <w:sz w:val="20"/>
          <w:szCs w:val="20"/>
          <w:color w:val="auto"/>
        </w:rPr>
      </w:pPr>
    </w:p>
    <w:p>
      <w:pPr>
        <w:ind w:firstLine="1952"/>
        <w:spacing w:after="0" w:line="282" w:lineRule="auto"/>
        <w:tabs>
          <w:tab w:leader="none" w:pos="220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Closing Date, each Purchaser shall deliver or cause to be delivered to the Company the portion of such Purchaser’s Subscription Amount applicable to such tranche by wire transfer to the account specified in writing by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each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right="20" w:firstLine="2600"/>
        <w:spacing w:after="0" w:line="266" w:lineRule="auto"/>
        <w:tabs>
          <w:tab w:leader="none" w:pos="2823"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been performed; and</w:t>
      </w:r>
    </w:p>
    <w:p>
      <w:pPr>
        <w:spacing w:after="0" w:line="206"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each Purchaser of the items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of this Agreement.</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each Closing are subject to the following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being met:</w:t>
      </w:r>
    </w:p>
    <w:p>
      <w:pPr>
        <w:spacing w:after="0" w:line="206"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2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have been performed;</w:t>
      </w:r>
    </w:p>
    <w:p>
      <w:pPr>
        <w:spacing w:after="0" w:line="206"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delivery by the Company of the items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of this Agreement; and</w:t>
      </w:r>
    </w:p>
    <w:p>
      <w:pPr>
        <w:spacing w:after="0" w:line="225"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 as of the date hereof and as of each Closing Date:</w:t>
      </w:r>
    </w:p>
    <w:p>
      <w:pPr>
        <w:spacing w:after="0" w:line="162" w:lineRule="exact"/>
        <w:rPr>
          <w:sz w:val="20"/>
          <w:szCs w:val="20"/>
          <w:color w:val="auto"/>
        </w:rPr>
      </w:pPr>
    </w:p>
    <w:p>
      <w:pPr>
        <w:jc w:val="both"/>
        <w:ind w:firstLine="1952"/>
        <w:spacing w:after="0" w:line="266" w:lineRule="auto"/>
        <w:tabs>
          <w:tab w:leader="none" w:pos="218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owns, directly or indirectly, all the capital stock or other equity interests of each Subsidiary free and clear of any Liens, and all the issued and outstanding shares of capital stock of each Subsidiary are validly issued and are fully paid, non-assessable and free of preemptive and similar rights to subscribe for or purchase securities.</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ind w:left="2200" w:hanging="248"/>
        <w:spacing w:after="0"/>
        <w:tabs>
          <w:tab w:leader="none" w:pos="22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2600"/>
        <w:spacing w:after="0" w:line="253" w:lineRule="auto"/>
        <w:tabs>
          <w:tab w:leader="none" w:pos="282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The Company and the Board of Directors represent and warrant that they have taken all actions necessary to ensure that the execution and delivery of this Agreement and each of the other Transaction Documents by the Company and the consummation by it of the transactions contemplated hereby and thereby will not result in a breach of the fiduciary duties of the members of the Board of Directors.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jc w:val="both"/>
        <w:ind w:firstLine="1952"/>
        <w:spacing w:after="0" w:line="255" w:lineRule="auto"/>
        <w:tabs>
          <w:tab w:leader="none" w:pos="218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w:t>
      </w:r>
      <w:r>
        <w:rPr>
          <w:rFonts w:ascii="Times New Roman" w:cs="Times New Roman" w:eastAsia="Times New Roman" w:hAnsi="Times New Roman"/>
          <w:sz w:val="18"/>
          <w:szCs w:val="18"/>
          <w:u w:val="single" w:color="auto"/>
          <w:color w:val="auto"/>
        </w:rPr>
        <w:t>Sections 4.5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 xml:space="preserve"> of this Agreement, (ii) the filing of the Registration Statement with the Commission pursuant to the Registration Rights Agreement, (iii) if required, the notice and/or application(s) to each applicable Trading Market for the issuance and sale of the Securities and the listing of the Conversion Shares for trading thereon in the time and manner required thereby, and (iv) the filing of Form D with the Commission and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other than restrictions on transfer provided for in the Transaction Documents. The Conversion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w:t>
      </w:r>
    </w:p>
    <w:p>
      <w:pPr>
        <w:spacing w:after="0" w:line="187"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of this Agreement is substantially as set forth in the SEC Reports. No Person has any right of first refusal, preemptive right, right of participation, or any similar right to participate in the transactions contemplated by the Transaction Documents. Except as a result of the purchase and sale of the Securities and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Share Equivalents or capital stock of any Subsidiary. The issuance and sale of the Securities will not obligate the Company or any Subsidiary to issue shares of Common Stock or other securities to any Person (other than a Purchaser).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Common Stock and other shares of capital stock of the Company are duly authorized, validly issued, fully paid, and nonassessable, have been issued in compliance with all applicable securities laws, and none of such outstanding shares was issued in violation of any preemptive rights or similar rights to subscribe for or purchase securities. No approval or authorization of any shareholder, the Board of Directors, or others is required for the issuance and sale of the Securities. There are no shareholders agreements, voting agreements, or other similar agreements with respect to the Company’s capital stock to which the Company is a party or, to the knowledge of the Company, between or among any of the Company’s shareholders other than as disclosed in SEC Reports.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1952"/>
        <w:spacing w:after="0" w:line="252" w:lineRule="auto"/>
        <w:tabs>
          <w:tab w:leader="none" w:pos="221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and as of the Closing Date the Company is current on all of its filing obligations under the Securities Act and Exchange Act.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consultant, or Affiliate, except pursuant to certain contractual obligations with officers, directors, consultants, or Affiliates or in accordance with the Company’s Incentive Plan as amended and approved by Shareholders from time to time.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ind w:firstLine="1952"/>
        <w:spacing w:after="0" w:line="258" w:lineRule="auto"/>
        <w:tabs>
          <w:tab w:leader="none" w:pos="218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in each case that (i) adversely affects or challenges the legality, validity or enforceability of any of the Transaction Documents or the Securities or (ii) could, if there were an unfavorable decision, have or reasonably be expected to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international, foreign, federal, state and local laws relating to taxes, environmental protection, space, land use, occupational health and safety, product quality and safety and employment and labor matters, except in each case as could not have or reasonably be expected to result in 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2" w:name="page33"/>
    <w:bookmarkEnd w:id="32"/>
    <w:p>
      <w:pPr>
        <w:jc w:val="both"/>
        <w:ind w:firstLine="1952"/>
        <w:spacing w:after="0" w:line="254" w:lineRule="auto"/>
        <w:tabs>
          <w:tab w:leader="none" w:pos="224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in each clause (i), (ii) and (iii), the failure to so comply could be reasonably expected to have, individually or in the aggregate, a Material Adverse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Except as set forth in the SEC Reports,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jc w:val="both"/>
        <w:ind w:firstLine="1952"/>
        <w:spacing w:after="0" w:line="251" w:lineRule="auto"/>
        <w:tabs>
          <w:tab w:leader="none" w:pos="22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possess adequate rights to use, all patents, patent applications, trademarks, trademark applications, service marks, trade names, trade secrets, inventions, know-how (including trade secrets and other unpatented and/or unpatentable proprietary or confidential information, systems or procedures), copyrights, licenses and other intellectual property rights and similar rights as are material for the conduct of their respective businesses as currently conducted or as currently proposed to be conducted, in each case, as described in the SEC Reports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To the knowledge of the Company, neither the Company nor its Subsidiaries is infringing, and upon commercialization of any product or service described in the SEC Reports, will not infringe on, any valid claim of any issued patents, copyrights or trademarks of others. The Company has no knowledge of any third-party intellectual property rights that would prevent the Company from conducting its business as currently conducted or proposed to be conducted.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where such action would not reasonably be expected to have a Material Adverse Effect. Neither the Company nor any Subsidiary has received, since the date of the latest audited financial statements included within the SEC Reports, a written notice of a claim or otherwise has any knowledge that the Company’s products or planned products as described in the SEC Reports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To the knowledge of the Company, no employee, consultant or independent contractor of the Company or its Subsidiaries is in or has ever been in violation in any material respect of any term of any employment contract, patent disclosure agreement, invention assignment agreement, non- 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its Subsidiaries or actions undertaken while employed or engaged with the Company or its Subsidiaries. The Company and its Subsidiaries have taken reasonable measures to protect its confidential information and trade secrets of its business and to maintain and safeguard the Company’s Intellectual Property Rights, including the execution of appropriate nondisclosure and confidentiality agreements, and to the Company’s knowledge, no employee of the Company or its Subsidiaries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any of its Subsidiaries. All patents and patent applications owned by or licensed to the Company or its Subsidiaries or under which the Company or its Subsidiaries have rights, to the knowledge of the Company, been duly and properly filed and maintained; to the knowledge of the Company, there are no material defects in any of the patents or patent applications disclosed in the SEC Reports as being owned by the Company or its Subsidiaries; to the knowledge of the Company, the parties prosecuting such applications have complied with their duty of candor and disclosure to the United States Patent and Trademark Office (the “</w:t>
      </w:r>
      <w:r>
        <w:rPr>
          <w:rFonts w:ascii="Times New Roman" w:cs="Times New Roman" w:eastAsia="Times New Roman" w:hAnsi="Times New Roman"/>
          <w:sz w:val="18"/>
          <w:szCs w:val="18"/>
          <w:u w:val="single" w:color="auto"/>
          <w:color w:val="auto"/>
        </w:rPr>
        <w:t>USPTO</w:t>
      </w:r>
      <w:r>
        <w:rPr>
          <w:rFonts w:ascii="Times New Roman" w:cs="Times New Roman" w:eastAsia="Times New Roman" w:hAnsi="Times New Roman"/>
          <w:sz w:val="18"/>
          <w:szCs w:val="18"/>
          <w:color w:val="auto"/>
        </w:rPr>
        <w:t>”)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ind w:firstLine="1952"/>
        <w:spacing w:after="0" w:line="258" w:lineRule="auto"/>
        <w:tabs>
          <w:tab w:leader="none" w:pos="221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$5 million.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6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consultants,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7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Company’s disclosure controls and procedures and internal controls are effective.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and as of the Closing Date. Except as set forth in the SEC Reports, the Company and its subsidiaries maintain disclosure controls and procedures, as such term is defined in Rules 13a-15(e) and 15d-15(e) under the Exchange Act, ...that are designed to provide reasonable assurance that information required to be disclosed by the Company in reports that it files or submits under the Exchange Act is recorded, processed, summarized, and reported within the time periods specified in SEC rules and forms, and that such information is accumulated and communicated to the Company’s management, including the Company’s Chief Executive Officer and Chief Financial Officer, to allow timely decisions regarding required disclosure.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the Company’s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Under the supervision and with the participation of our management, the Company’s certifying officers have evaluated the effectiveness of the disclosure controls and procedures of the Company and the Subsidiaries as of the end of the period covered by the most recently filed Public Report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Public Report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that have materially affected, or is reasonably likely to materially affect, the internal control over financial reporting of the Company and its Subsidiaries.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ind w:firstLine="1952"/>
        <w:spacing w:after="0" w:line="258" w:lineRule="auto"/>
        <w:tabs>
          <w:tab w:leader="none" w:pos="21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compensation payable to the Placement Agent, no brokerage or finder’s fees or commissions are or will be payable by the Company or any Subsidiaries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5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pursuant to the Registration Rights Agreement and as set forth in the SEC Reports, no Person has any right to cause the Company to effect the registration under the Securities Act of any securities of the Company.</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Except as set forth in the SEC Reports,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Except as set forth in the SEC Reports,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jc w:val="both"/>
        <w:ind w:firstLine="1952"/>
        <w:spacing w:after="0" w:line="256" w:lineRule="auto"/>
        <w:tabs>
          <w:tab w:leader="none" w:pos="221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and the Placement Agent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period commencing on December 1, 2025 through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190" w:lineRule="exact"/>
        <w:rPr>
          <w:sz w:val="20"/>
          <w:szCs w:val="20"/>
          <w:color w:val="auto"/>
        </w:rPr>
      </w:pPr>
    </w:p>
    <w:p>
      <w:pPr>
        <w:jc w:val="both"/>
        <w:ind w:firstLine="1952"/>
        <w:spacing w:after="0" w:line="261" w:lineRule="auto"/>
        <w:tabs>
          <w:tab w:leader="none" w:pos="228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 which would require the registration of any such securities under the Securities Act.</w:t>
      </w:r>
    </w:p>
    <w:p>
      <w:pPr>
        <w:spacing w:after="0" w:line="179"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89"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their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them to believe that they will file for reorganization or liquidation under the bankruptcy or reorganization laws of any jurisdiction within one year from each Closing Date. Neither the Company nor any of its subsidiaries are in default with respect to any indebtedness for borrowed money or money due under any long-term leasing or factoring arrangement.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firstLine="1952"/>
        <w:spacing w:after="0" w:line="255" w:lineRule="auto"/>
        <w:tabs>
          <w:tab w:leader="none" w:pos="2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0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offered, promised or authorized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or any applicable law or regulation implementing the OECD Convention on Combating Bribery of Foreign Public Officials in International Business Transactions, or committed an offence under the Bribery Act of 2010 of the United Kingdom, or any other anti-bribery or anti- corruption law applicable to the Company and/or its Subsidiaries.</w:t>
      </w:r>
    </w:p>
    <w:p>
      <w:pPr>
        <w:spacing w:after="0" w:line="19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set forth in the SEC Reports. To the knowledge and belief of the Company, such accounting firm (i) is a registered public accounting firm as required by the Exchange Act and (ii) is expected to express its opinion with respect to the financial statements to be included in the Company’s Annual Report for the fiscal years ending December 31, 2025 and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ind w:firstLine="1952"/>
        <w:spacing w:after="0" w:line="261" w:lineRule="auto"/>
        <w:tabs>
          <w:tab w:leader="none" w:pos="228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02"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Materially Adverse Contracts, Etc</w:t>
      </w:r>
      <w:r>
        <w:rPr>
          <w:rFonts w:ascii="Times New Roman" w:cs="Times New Roman" w:eastAsia="Times New Roman" w:hAnsi="Times New Roman"/>
          <w:sz w:val="18"/>
          <w:szCs w:val="18"/>
          <w:color w:val="auto"/>
        </w:rPr>
        <w:t>. Except as set forth in the SEC Reports, neither the Company nor any of its Subsidiaries is subject to any charter, corporate, or other legal restriction, or any judgment, decree, order, rule, or regulation which, in the judgment of the Company’s officers, has or is expected in the future to have a Material Adverse Effect. Except as set forth in the SEC Reports, neither the Company nor any of its Subsidiaries is a party to any contract or agreement which in the judgment of the Company’s officers has or is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ind w:firstLine="1952"/>
        <w:spacing w:after="0" w:line="252" w:lineRule="auto"/>
        <w:tabs>
          <w:tab w:leader="none" w:pos="220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with Sanctions Laws</w:t>
      </w:r>
      <w:r>
        <w:rPr>
          <w:rFonts w:ascii="Times New Roman" w:cs="Times New Roman" w:eastAsia="Times New Roman" w:hAnsi="Times New Roman"/>
          <w:sz w:val="18"/>
          <w:szCs w:val="18"/>
          <w:color w:val="auto"/>
        </w:rPr>
        <w:t>. Neither the Company nor any of its Subsidiaries, directors, officers, or employees, nor, to the knowledge of the Company,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or the U.S. Department of State and including, without limitation, the designation as a “specially designated national” or “blocked person”), the United Nations Security Council (“</w:t>
      </w:r>
      <w:r>
        <w:rPr>
          <w:rFonts w:ascii="Times New Roman" w:cs="Times New Roman" w:eastAsia="Times New Roman" w:hAnsi="Times New Roman"/>
          <w:sz w:val="18"/>
          <w:szCs w:val="18"/>
          <w:u w:val="single" w:color="auto"/>
          <w:color w:val="auto"/>
        </w:rPr>
        <w:t>UNSC</w:t>
      </w:r>
      <w:r>
        <w:rPr>
          <w:rFonts w:ascii="Times New Roman" w:cs="Times New Roman" w:eastAsia="Times New Roman" w:hAnsi="Times New Roman"/>
          <w:sz w:val="18"/>
          <w:szCs w:val="18"/>
          <w:color w:val="auto"/>
        </w:rPr>
        <w:t>”), the European Union, His Majesty’s Treasury (“</w:t>
      </w:r>
      <w:r>
        <w:rPr>
          <w:rFonts w:ascii="Times New Roman" w:cs="Times New Roman" w:eastAsia="Times New Roman" w:hAnsi="Times New Roman"/>
          <w:sz w:val="18"/>
          <w:szCs w:val="18"/>
          <w:u w:val="single" w:color="auto"/>
          <w:color w:val="auto"/>
        </w:rPr>
        <w:t>HMT</w:t>
      </w:r>
      <w:r>
        <w:rPr>
          <w:rFonts w:ascii="Times New Roman" w:cs="Times New Roman" w:eastAsia="Times New Roman" w:hAnsi="Times New Roman"/>
          <w:sz w:val="18"/>
          <w:szCs w:val="18"/>
          <w:color w:val="auto"/>
        </w:rPr>
        <w:t>”) or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Cuba, Iran, North Korea and Syria (each, a “</w:t>
      </w:r>
      <w:r>
        <w:rPr>
          <w:rFonts w:ascii="Times New Roman" w:cs="Times New Roman" w:eastAsia="Times New Roman" w:hAnsi="Times New Roman"/>
          <w:sz w:val="18"/>
          <w:szCs w:val="18"/>
          <w:u w:val="single" w:color="auto"/>
          <w:color w:val="auto"/>
        </w:rPr>
        <w:t>Sanctioned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Country</w:t>
      </w:r>
      <w:r>
        <w:rPr>
          <w:rFonts w:ascii="Times New Roman" w:cs="Times New Roman" w:eastAsia="Times New Roman" w:hAnsi="Times New Roman"/>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4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Holding</w:t>
      </w:r>
      <w:r>
        <w:rPr>
          <w:rFonts w:ascii="Times New Roman" w:cs="Times New Roman" w:eastAsia="Times New Roman" w:hAnsi="Times New Roman"/>
          <w:sz w:val="18"/>
          <w:szCs w:val="18"/>
          <w:color w:val="auto"/>
        </w:rPr>
        <w:t>. It is understood and acknowledged by the Company that, except as set forth in Section 4.1, the Purchaser has not been asked by the Company to agree, nor has the Purchaser agreed, to hold the Securities for any specified term.</w:t>
      </w:r>
    </w:p>
    <w:p>
      <w:pPr>
        <w:spacing w:after="0" w:line="161"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Shareholder Approval</w:t>
      </w:r>
      <w:r>
        <w:rPr>
          <w:rFonts w:ascii="Times New Roman" w:cs="Times New Roman" w:eastAsia="Times New Roman" w:hAnsi="Times New Roman"/>
          <w:sz w:val="18"/>
          <w:szCs w:val="18"/>
          <w:color w:val="auto"/>
        </w:rPr>
        <w:t>. The Company obtained the Shareholder Approval at its 2025 Annual Meeting on the Shareholder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Date.</w:t>
      </w:r>
    </w:p>
    <w:p>
      <w:pPr>
        <w:spacing w:after="0" w:line="206"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1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where the Company or any Subsidiary conducts business, the applicable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ind w:firstLine="1952"/>
        <w:spacing w:after="0" w:line="254" w:lineRule="auto"/>
        <w:tabs>
          <w:tab w:leader="none" w:pos="228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and, together, “</w:t>
      </w:r>
      <w:r>
        <w:rPr>
          <w:rFonts w:ascii="Times New Roman" w:cs="Times New Roman" w:eastAsia="Times New Roman" w:hAnsi="Times New Roman"/>
          <w:sz w:val="18"/>
          <w:szCs w:val="18"/>
          <w:u w:val="single" w:color="auto"/>
          <w:color w:val="auto"/>
        </w:rPr>
        <w:t>Issuer Covered Persons</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22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Covered Persons</w:t>
      </w:r>
      <w:r>
        <w:rPr>
          <w:rFonts w:ascii="Times New Roman" w:cs="Times New Roman" w:eastAsia="Times New Roman" w:hAnsi="Times New Roman"/>
          <w:sz w:val="18"/>
          <w:szCs w:val="18"/>
          <w:color w:val="auto"/>
        </w:rPr>
        <w:t>. The Company is not aware of any person (other than any Issuer Covered Person) that has been or will be paid (directly or indirectly) remuneration for solicitation of purchasers in connection with the sale of any Securities.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Exchange Act and Continued Listing Requirements</w:t>
      </w:r>
      <w:r>
        <w:rPr>
          <w:rFonts w:ascii="Times New Roman" w:cs="Times New Roman" w:eastAsia="Times New Roman" w:hAnsi="Times New Roman"/>
          <w:sz w:val="18"/>
          <w:szCs w:val="18"/>
          <w:color w:val="auto"/>
        </w:rPr>
        <w:t>. (i)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 The Company has taken all necessary actions to ensure that it has been and will be in compliance with all applicable corporate governance requirements set forth in the rules of the Nasdaq Stock Market that are in effect.</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0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 Audits; Trade Controls</w:t>
      </w:r>
      <w:r>
        <w:rPr>
          <w:rFonts w:ascii="Times New Roman" w:cs="Times New Roman" w:eastAsia="Times New Roman" w:hAnsi="Times New Roman"/>
          <w:sz w:val="18"/>
          <w:szCs w:val="18"/>
          <w:color w:val="auto"/>
        </w:rPr>
        <w:t>. To the knowledge of the Company, there are no outstanding allegations of improper activities arising from any government audit or non-audit review, including without limitation, by the Defense Contract Audit Agency, of the Company or any of its Subsidiaries or work performed by the Company or any of its Subsidiaries that would, individually or in the aggregate, have a Material Adverse Effect. In the past five years, the Company and each of its Subsidiaries has been and is in compliance in all material respects with any applicable United States national customs or export control laws and regulations, including the Export Administration Regulations, the Arms Export Control Act, and the International Traffic in Arms Regulations.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1952"/>
        <w:spacing w:after="0" w:line="252" w:lineRule="auto"/>
        <w:tabs>
          <w:tab w:leader="none" w:pos="228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Except as disclosed in the SEC Reports, the Company is not a party to an “employee benefit plan,” as defined in Section 3(3) of the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which: (i) is subject to any provision of ERISA and (ii) is or was at any time maintained, administered or contributed to by the Company or any of its ERISA Affiliates (as defined hereafter). These plans are referred to collectively herein as the “</w:t>
      </w:r>
      <w:r>
        <w:rPr>
          <w:rFonts w:ascii="Times New Roman" w:cs="Times New Roman" w:eastAsia="Times New Roman" w:hAnsi="Times New Roman"/>
          <w:sz w:val="18"/>
          <w:szCs w:val="18"/>
          <w:u w:val="single" w:color="auto"/>
          <w:color w:val="auto"/>
        </w:rPr>
        <w:t>Employee Plans.</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of any person or entity means any other person or entity which, together with that person or entity, could be treated as a single employer under Section 414(b), (c), (m) or (o)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Each Employee Plan has been maintained in material compliance with its terms and the requirements of applicable law. No Employee Plan is subject to Title IV of ERISA. The SEC Reports identify each employment, severance or other similar agreement, arrangement or policy and each material plan or arrangement required to be disclosed pursuant to the rules and regulations under the Securities Act and Exchange Act providing for insurance coverage (including any self-insured arrangements), workers’ compensation, disability benefits, severance benefits, supplemental unemployment benefits, vacation benefits or retirement benefits, or deferred compensation, profit-sharing, bonuses, stock options, stock appreciation rights or other forms of incentive compensation, or post-retirement insurance, compensation or benefits, which: (i) is not an Employee Plan; (ii) is entered into, maintained or contributed to, as the case may be, by the Company or any of its ERISA Affiliates; and (iii) covers any officer or director or former officer or director of the Company or any of its ERISA Affiliates. These agreements, arrangements, policies or plans are referred to collectively as “</w:t>
      </w:r>
      <w:r>
        <w:rPr>
          <w:rFonts w:ascii="Times New Roman" w:cs="Times New Roman" w:eastAsia="Times New Roman" w:hAnsi="Times New Roman"/>
          <w:sz w:val="18"/>
          <w:szCs w:val="18"/>
          <w:u w:val="single" w:color="auto"/>
          <w:color w:val="auto"/>
        </w:rPr>
        <w:t>Benefit Arrangements.</w:t>
      </w:r>
      <w:r>
        <w:rPr>
          <w:rFonts w:ascii="Times New Roman" w:cs="Times New Roman" w:eastAsia="Times New Roman" w:hAnsi="Times New Roman"/>
          <w:sz w:val="18"/>
          <w:szCs w:val="18"/>
          <w:color w:val="auto"/>
        </w:rPr>
        <w:t>” Each Benefit Arrangement has been maintained in material compliance with its terms and with the requirements of applicable law. Except as disclosed in the SEC Reports, there is no liability in respect of post-retirement health and medical benefits for retired employees of the Company or any of its ERISA Affiliates, other than medical benefits required to be continued under applicable law. No “prohibited transaction” (as defined in either Section 406 of ERISA or Section 4975 of the Code) has occurred with respect to any Employee Plan; and each Employee Plan that is intended to be qualified under Section 401(a) of the Code is so qualified, and nothing has occurred, whether by action or by failure to act, which could cause the loss of such qualification.</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3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Privacy and Data Security Laws and Regulations</w:t>
      </w:r>
      <w:r>
        <w:rPr>
          <w:rFonts w:ascii="Times New Roman" w:cs="Times New Roman" w:eastAsia="Times New Roman" w:hAnsi="Times New Roman"/>
          <w:sz w:val="18"/>
          <w:szCs w:val="18"/>
          <w:color w:val="auto"/>
        </w:rPr>
        <w:t>. The Company and the Subsidiaries have established and maintain appropriate technical, physical and organizational measures and security systems and technologies in compliance with all material data security requirements under all applicable laws designed to protect Company data against accidental or unlawful processing in a manner appropriate to the risks represented by the processing of such data by the Company and its data processors, in all material respects. The Company and the Subsidiaries have operated and currently operate their respective businesses in a manner compliant with all applicable foreign, federal, and state data privacy and security laws and regulations, and the Company and the Subsidiaries have in place, comply with, and take appropriate steps reasonably designed to maintain compliance with their policies and procedures related to privacy and data security applicable to the Company’s and the Subsidiaries’ collection, use, handling, transfer, transmission, storage, disclosure and/or disposal of the data of their respective customers, employees and other third parties (the “</w:t>
      </w:r>
      <w:r>
        <w:rPr>
          <w:rFonts w:ascii="Times New Roman" w:cs="Times New Roman" w:eastAsia="Times New Roman" w:hAnsi="Times New Roman"/>
          <w:sz w:val="18"/>
          <w:szCs w:val="18"/>
          <w:u w:val="single" w:color="auto"/>
          <w:color w:val="auto"/>
        </w:rPr>
        <w:t>Privacy and Data Security Laws</w:t>
      </w:r>
      <w:r>
        <w:rPr>
          <w:rFonts w:ascii="Times New Roman" w:cs="Times New Roman" w:eastAsia="Times New Roman" w:hAnsi="Times New Roman"/>
          <w:sz w:val="18"/>
          <w:szCs w:val="18"/>
          <w:color w:val="auto"/>
        </w:rPr>
        <w:t>”) and there has been no non-compliance with such Privacy and Data Security Laws that would be reasonably expected to have, individually or in the aggregate, a Material Adverse Effect.</w:t>
      </w:r>
    </w:p>
    <w:p>
      <w:pPr>
        <w:spacing w:after="0" w:line="194" w:lineRule="exact"/>
        <w:rPr>
          <w:sz w:val="20"/>
          <w:szCs w:val="20"/>
          <w:color w:val="auto"/>
        </w:rPr>
      </w:pPr>
    </w:p>
    <w:p>
      <w:pPr>
        <w:jc w:val="both"/>
        <w:ind w:firstLine="1304"/>
        <w:spacing w:after="0" w:line="266" w:lineRule="auto"/>
        <w:tabs>
          <w:tab w:leader="none" w:pos="164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 Balance Sheet Arrangements</w:t>
      </w:r>
      <w:r>
        <w:rPr>
          <w:rFonts w:ascii="Times New Roman" w:cs="Times New Roman" w:eastAsia="Times New Roman" w:hAnsi="Times New Roman"/>
          <w:sz w:val="18"/>
          <w:szCs w:val="18"/>
          <w:color w:val="auto"/>
        </w:rPr>
        <w:t>. There is no transaction, arrangement, or other relationship between the Company or any of its Subsidiaries and an unconsolidated or other off balance sheet entity that is required to be disclosed by the Company in its SEC Reports and is not so disclosed or that otherwise could be reasonably likely to have a Material Adverse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1952"/>
        <w:spacing w:after="0" w:line="253" w:lineRule="auto"/>
        <w:tabs>
          <w:tab w:leader="none" w:pos="21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 Account</w:t>
      </w:r>
      <w:r>
        <w:rPr>
          <w:rFonts w:ascii="Times New Roman" w:cs="Times New Roman" w:eastAsia="Times New Roman" w:hAnsi="Times New Roman"/>
          <w:sz w:val="18"/>
          <w:szCs w:val="18"/>
          <w:color w:val="auto"/>
        </w:rPr>
        <w:t>. Such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8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either: (i) an “accredited investor” as defined in Rule 501(a)(1), (a)(2), (a)(3), (a)(7), (a)(8), (a)(9), (a)(12), or (a)(13) under the Securities Act or (ii) a “qualified institutional buyer” as defined in Rule 144A(a) under the Securities Act.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firstLine="1952"/>
        <w:spacing w:after="0" w:line="266" w:lineRule="auto"/>
        <w:tabs>
          <w:tab w:leader="none" w:pos="220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SEC Reports, Transaction Documents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contained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OTHER AGREEMENTS OF THE PARTIES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Register; Transfer Agent Instructions; Legend Removal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58" w:lineRule="auto"/>
        <w:tabs>
          <w:tab w:leader="none" w:pos="220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maintain at its principal executive offices (or such other office or agency of the Company as it may designate by notice to each holder of Securities), a register for the Notes in which the Company shall record the name and address of the Person in whose name such Notes have been issued (including the name and address of each transferee), the principal amount of such Notes held by such Person and the number of Conversion Shares issuable pursuant to the terms of such Notes. The Company shall keep the register open and available at all times during business hours for inspection of the Purchasers or their respective legal representatives.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1952"/>
        <w:spacing w:after="0" w:line="252" w:lineRule="auto"/>
        <w:tabs>
          <w:tab w:leader="none" w:pos="220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issue irrevocable instructions to its transfer agent and any subsequent transfer agent (as applicable,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a form reasonably acceptable to the Purchasers (the “</w:t>
      </w:r>
      <w:r>
        <w:rPr>
          <w:rFonts w:ascii="Times New Roman" w:cs="Times New Roman" w:eastAsia="Times New Roman" w:hAnsi="Times New Roman"/>
          <w:sz w:val="18"/>
          <w:szCs w:val="18"/>
          <w:b w:val="1"/>
          <w:bCs w:val="1"/>
          <w:color w:val="auto"/>
        </w:rPr>
        <w:t>Irrevocable Transfer Agent Instructions</w:t>
      </w:r>
      <w:r>
        <w:rPr>
          <w:rFonts w:ascii="Times New Roman" w:cs="Times New Roman" w:eastAsia="Times New Roman" w:hAnsi="Times New Roman"/>
          <w:sz w:val="18"/>
          <w:szCs w:val="18"/>
          <w:color w:val="auto"/>
        </w:rPr>
        <w:t>”) to issue certificates or credit shares to the applicable balance accounts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registered in the name of the Purchasers or its respective nominee(s), for the Conversion Shares in such amounts as specified from time to time by such Purchaser to the Company upon conversion of such Note. The Company represents and warrants that it will not give any instructions to its transfer agent that would prevent or delay the issuance of Securities in accordance with the Transfer Agent Instructions or the transfer of the Securities, except for instructions required by applicable law or court order, and that the Securities shall otherwise be freely transferable on the books and records of the Company, as applicable, to the extent provided in this Agreement and the other Transaction Documents. If a Purchaser effects a sale, assignment, or transfer of the Securities in accordance with Section 4.1(c), the Company shall permit the transfer and shall promptly instruct its transfer agent to issue one or more certificates or credit shares to the applicable balance accounts at DTC in such name and in such denominations as specified by such Purchaser to effect such sale, transfer or assignment. If such sale, assignment, or transfer involves Conversion Shares sold, assigned, or transferred pursuant to an effective registration statement or in compliance with Rule 144, the transfer agent shall issue such shares to such Purchaser, assignee or transferee (as the case may be) without any restrictive legend in accordance with Section 4.1(e) below. The Company acknowledges that a breach by it of its obligations hereunder will cause irreparable harm to the Buyer. Accordingly, the Company acknowledges that the remedy at law for a breach of its obligations under this Section 4.1(b) will be inadequate and agrees, in the event of a breach or threatened breach by the Company of the provisions of this Section 4.1(b), that the Purchasers shall be entitled, in addition to all other available remedies, to an order or injunction restraining any breach and requiring immediate issuance and transfer, without the necessity of showing economic loss and without any bond or other security being required. The Company shall cause its counsel to issue the legal opinion referred to in the Irrevocable Transfer Agent Instructions to the Company’s transfer agent on each date that an applicable Registration Statement has been declared effective by the SEC. Any fees (with respect to the transfer agent, counsel to the Company or otherwise) associated with the issuance of such opinion or the removal of any legends on any of the Securities shall be borne by the Company.</w:t>
      </w:r>
    </w:p>
    <w:p>
      <w:pPr>
        <w:spacing w:after="0" w:line="18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agree to the imprinting,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any of the Securities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EXERCI8SABLE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 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(as defined in the Registration Rights Agreement) thereunder.</w:t>
      </w:r>
    </w:p>
    <w:p>
      <w:pPr>
        <w:spacing w:after="0" w:line="194"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(e)Certificates evidencing the Conversion Shares shall not contain any legend (including the legend set forth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hereof): (i) while a registration statement (including the Registration Statement) covering the resale of such security is effective under the Securities Act,</w:t>
      </w:r>
    </w:p>
    <w:p>
      <w:pPr>
        <w:jc w:val="both"/>
        <w:ind w:firstLine="8"/>
        <w:spacing w:after="0" w:line="250" w:lineRule="auto"/>
        <w:tabs>
          <w:tab w:leader="none" w:pos="26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any sale of such Conversion Shares pursuant to Rule 144, (iii) if such Shares are eligible for sale under Rule 144, without the requirement for the Company to be in compliance with the current public information required under Rule 144 as to such Conversion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counsel to the Company fails to provide a legal opinion reasonably satisfactory to the Transfer Agent within one (1) Trading Day of the Transfer Agent’s request or such Purchaser’s request, as applicable, such Purchaser shall have the right to provide an opinion of counsel selected by such Purchaser and reasonably acceptable to the Transfer Agent, the reasonable cost of which shall be borne by the Company. If such Conversion Shares may be sold under Rule 144 and the Company is then in compliance with the current public information required under Rule 144 (or if the Conversion Shares may be sold under Rule 144 without the requirement for the Company to be in compliance with the current public information required under Rule 144 as to such Conversion Shares) or if such legend is not otherwise required under applicable requirements of the Securities Act (including judicial interpretations and pronouncements issued by the staff of the Commission) then such Securities shall be issued free of all legends. The Company agrees that following the Effective Date or at such time as such legend is no longer required under this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it will, no later than the earlier of (i) two (2) Trading Days and</w:t>
      </w:r>
    </w:p>
    <w:p>
      <w:pPr>
        <w:spacing w:after="0" w:line="5" w:lineRule="exact"/>
        <w:rPr>
          <w:rFonts w:ascii="Times New Roman" w:cs="Times New Roman" w:eastAsia="Times New Roman" w:hAnsi="Times New Roman"/>
          <w:sz w:val="18"/>
          <w:szCs w:val="18"/>
          <w:color w:val="auto"/>
        </w:rPr>
      </w:pPr>
    </w:p>
    <w:p>
      <w:pPr>
        <w:jc w:val="both"/>
        <w:ind w:firstLine="8"/>
        <w:spacing w:after="0" w:line="251"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Trading Days comprising the Standard Settlement Period (as defined below) following the delivery by a Purchaser to the Company or the Transfer Agent of a certificate representing Conversion Shares, as the case may be, issued with a restrictive legend (such date, the “</w:t>
      </w:r>
      <w:r>
        <w:rPr>
          <w:rFonts w:ascii="Times New Roman" w:cs="Times New Roman" w:eastAsia="Times New Roman" w:hAnsi="Times New Roman"/>
          <w:sz w:val="18"/>
          <w:szCs w:val="18"/>
          <w:u w:val="single" w:color="auto"/>
          <w:color w:val="auto"/>
        </w:rPr>
        <w:t>Legend 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8"/>
          <w:szCs w:val="18"/>
          <w:u w:val="single" w:color="auto"/>
          <w:color w:val="auto"/>
        </w:rPr>
        <w:t>Standard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Conversion Shares issued with a restrictive legend.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ind w:firstLine="1952"/>
        <w:spacing w:after="0" w:line="252" w:lineRule="auto"/>
        <w:tabs>
          <w:tab w:leader="none" w:pos="220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such Purchaser’s other available remedies, the Company shall pay to a Purchaser, in cash, (i) as partial liquidated damages and not as a penalty, for each $1,000 of Conversion Shares (based on the VWAP of the Common Stock on the date such Securities are submitted to the Transfer Agent) delivered for removal of the restrictive legend and subject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Conversion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Conversion Shares and ending on the date of such delivery and payment under this clause (ii).</w:t>
      </w:r>
    </w:p>
    <w:p>
      <w:pPr>
        <w:spacing w:after="0" w:line="19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1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is predicated upon the Company’s reliance upon this understanding.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Securities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52"/>
        <w:spacing w:after="0" w:line="261" w:lineRule="auto"/>
        <w:tabs>
          <w:tab w:leader="none" w:pos="223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no Purchaser owns Securities, the Company covenants to use commercially reasonable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9"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 (i)(1)(i) or becomes an issuer in the future, and the Company shall fail to satisfy any condition set forth in Rule 144(i)(2)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then, in addition to such Purchaser’s other available remedies, the Company shall pay to a Purchaser, in cash, as partial liquidated damages and not as a penalty, by reason of any such delay in or reduction of its ability to sell the Securities, an amount in cash equal to one percent (1.0%) of the Subscription Amount of such Purchaser’s Securities on the day of a Public Information Failure and on every thirtieth (30th) day (pro rated for periods totaling less than thirty days) thereafter until the earlier of (a) the date such Public Information Failure is cured and (b) such time that such public information is no longer required for the Purchasers to transfer the Conversion Shares pursuant to Rule 144, subject to a maximum of five percent (5.0%) of the Subscription Amount of such Purchaser’s Securities. The payments to which a Purchaser shall be entitled pursuant to this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22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calendar month during which such Public Information Failure Payments are incurred and (ii) the third (3rd)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 other than the Shareholder Approval.</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including, without limitation, the Placement Agent, on the one hand, and any of the Purchasers or any of their Affiliates on the other hand, shall terminate.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Except with respect to the material terms and conditions of the transactions contemplated by the Transaction Documents, which shall be disclosed pursuant to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 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Except as set forth in the SEC Reports, the Company shall use the net proceeds from the sale of the Securities hereunder for working capital purposes and for strategic investments and acquisitions and shall not use such proceeds: (a) for the redemption of any Common Stock or Common Stock Equivalents, (b) for the settlement of any outstanding litigation or (c) in violation of FCPA or OFAC regulations.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2" w:lineRule="auto"/>
        <w:tabs>
          <w:tab w:leader="none" w:pos="91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this Section 4.9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awards, orders, penalties and expenses, including all judgments, amounts paid in settlements, court costs, interest and attorneys’ fees and costs of investigation that any such Purchaser Party may suffer or incur as a result of or relating to (i) any breach of any of the representations, warranties, covenants or agreements made by the Company in this Agreement or in the other Transaction Documents, (ii) any action instituted against the Purchaser Parties in any capacity, or any of them or their respective Affiliates, by the Company, its employees or directors, or any stockholder or creditor of the Company who is not an Affiliate of such Purchaser Party, arising out of or relating to any of the transactions contemplated by the Transaction Documents, or (iii) any Claim brought or made against a Purchaser Party by a third party (including for these purposes a derivative action brought on behalf of the Company or any Subsidiary) or which otherwise involves such Purchaser Party that arises out of or results from (A) the execution, delivery, performance, or enforcement of any of the Transaction Documents, (B) any transaction financed or to be financed in whole or in part, directly or indirectly, with the proceeds of the issuance of the Securities, or (C) the status of the Purchaser or holder of the Securities either as an investor in the Company pursuant to the transactions contemplated by the Transaction Documents or as a party to this Agreement (including, without limitation, as a party in interest or otherwise in any Action for injunctive or other equitable relief).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656"/>
        <w:spacing w:after="0" w:line="252" w:lineRule="auto"/>
        <w:tabs>
          <w:tab w:leader="none" w:pos="91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indemnification provided herein is intended to and shall cover direct claims brought by the Company against the Purchaser Parties.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which shall be the case with respect to any direct claims by the Company.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finally judicially determined to be attributable to any Purchaser Party’s breach of any of the representations, warranties, covenants or agreements made by such Purchaser Party in this Agreement or in the other Transaction Documents. The indemnification required by this Section 4.9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19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Conversion Shares.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shall: (i) in the time and manner required by the principal Trading Market, prepare and file with such Trading Market an additional shares listing application covering a number of shares of Common Stock on the date of such application for the Conversion Shares, (ii) take all steps necessary to cause such shares of Common Stock to be approved for listing or quotation on such Trading Market and</w:t>
      </w:r>
    </w:p>
    <w:p>
      <w:pPr>
        <w:spacing w:after="0" w:line="1" w:lineRule="exact"/>
        <w:rPr>
          <w:sz w:val="20"/>
          <w:szCs w:val="20"/>
          <w:color w:val="auto"/>
        </w:rPr>
      </w:pPr>
    </w:p>
    <w:p>
      <w:pPr>
        <w:jc w:val="both"/>
        <w:ind w:firstLine="8"/>
        <w:spacing w:after="0" w:line="251" w:lineRule="auto"/>
        <w:tabs>
          <w:tab w:leader="none" w:pos="3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 the Purchasers evidence of such listing or quotation and (iv) until no Purchaser owns Securities, use commercially reasonable efforts to maintain the listing or quotation of such Common Stock on such date on such Trading Market or another Trading Market. The Company further agrees, if the Company applies to have the Common Stock traded on any other Trading Market, it will then include in such application all of the Conversion Shares, and will take such other action as is necessary to cause all of the Conversion Shares to be listed or quoted on such other Trading Market as promptly as possible. Until no Purchaser owns Securities, the Company will then take all action reasonably necessary to continue the listing and trading of its Common Stock on a Trading Market and will use commercially reasonable efforts to comply in all respects with the Company’s reporting, filing and other obligations under the bylaws or rules of the Trading Market. Until no Purchaser owns Securities,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 Shorting</w:t>
      </w:r>
      <w:r>
        <w:rPr>
          <w:rFonts w:ascii="Times New Roman" w:cs="Times New Roman" w:eastAsia="Times New Roman" w:hAnsi="Times New Roman"/>
          <w:sz w:val="18"/>
          <w:szCs w:val="18"/>
          <w:color w:val="auto"/>
        </w:rPr>
        <w:t>. Each Purchaser, severally and not jointly with the other Purchasers, covenants that neither it nor any of its Affiliates will directly or indirectly engage in any open market Short Sales of Common Stock, any “naked” Short Sales of Common Stock, or otherwise engage in any transactions that hedge or offset, or are designed to hedge or offset, any decrease in the market value of the Company’s equity securities during the period commencing with the execution of this Agreement and ending at such time that such Purchaser no longer owns any Notes or Conversion Shares. For the purposes hereof, and in accordance with Regulation SHO, (a) the sale within one (1) Trading Day prior to delivery of a Conversion Notice of such number of Common Shares reasonably expected to be purchased under such Conversion Notice shall not be deemed a Short Sale, and (b) the sale of Conversion Shares after delivery of a Conversion Notice but prior to actual delivery of the Conversion Shares under such Conversion Notice shall not be deemed a Short Sale.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xml:space="preserve">.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Each Purchaser, severally and not jointly with the other Purchasers, covenants that until such time as the transactions contemplated by this Agreement are publicly disclosed by the Company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such Purchaser will maintain the confidentiality of the existence and terms of this transaction, subject to any disclosure requirements under applicable law or regulatory requirements.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(iii) no Purchaser shall have any duty of confidentiality or duty not to trade in the securities of the Company to the Company or its Subsidiaries, or any of their respective officers, directors, employees, Affiliates or agent, including , without limitation, the Placement Agent after the issuance of the initial press release as described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From the date hereof until thirty (30) days after the Third Tranche Closing Date, neither the Company nor any Subsidiary shall without the consent of the Placement Agent (i) issue, enter into any agreement to issue or announce the issuance or proposed issuance of any Common Stock or Common Stock Equivalents, or (ii) file any registration statement or amendment or supplement thereto, other than with respect to the Registration Statement or a registration statement on Form S-8, except for the Securities issued pursuant hereto or otherwise in connection with the Offering. The restrictions contained in this section shall not apply to issuances of Common Stock or other securities convertible into or exercisable or exchangeable for Common Stock (i) to employees or directors of, or consultants or advisors to, the Company or any of its Subsidiaries pursuant to a plan, agreement or arrangement approved by the Board of Directors of the Company, (ii) to suppliers or third party service providers in connection with the provision of goods or services pursuant to transactions approved by the Board of Directors of the Company, (iii) pursuant to the acquisition of another corporation or other entity by the Company by merger, purchase of substantially all of the assets or other reorganization or pursuant to a joint venture agreement, provided that such issuances are approved by the Board of Directors of the Company, (iv) to third parties in connection with collaboration, technology license, development, marketing or other similar agreements or strategic partnerships approved by the Board of Directors of the Company, or</w:t>
      </w:r>
    </w:p>
    <w:p>
      <w:pPr>
        <w:spacing w:after="0" w:line="4" w:lineRule="exact"/>
        <w:rPr>
          <w:sz w:val="20"/>
          <w:szCs w:val="20"/>
          <w:color w:val="auto"/>
        </w:rPr>
      </w:pPr>
    </w:p>
    <w:p>
      <w:pPr>
        <w:jc w:val="both"/>
        <w:ind w:firstLine="8"/>
        <w:spacing w:after="0" w:line="252"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with respect to which the Placement Agent waives its lock-up rights granted hereby; provided, however, that any such issuance described in (iii) through (v) shall only be to a person (or to the equity holders of a person) which is, itself or through its Subsidiaries, an operating business, or an owner of an asset that is used in a business, that is, in the Company’s opinion, synergistic with the business of the Company and shall provide to the Company additional benefits in addition to the investment of funds. The foregoing restrictions shall not apply to the Company’s issuance of Common Stock or Common Stock Equivalents pursuant to an at-the-market facility with the Placement Agent as sales agent or the Equity Line of Credit Facility with Generating Alpha Ltd.</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Conversion included in the Note set forth the totality of the procedures required of the Purchasers in order to exercise their conversion rights. No additional legal opinion, other information or instructions shall be required of the Purchasers to exercise their conversion rights under the Note. Without limiting the preceding sentences, no ink-original Notice of Conversion shall be required, nor shall any medallion guarantee (or other type of guarantee or notarization) of any Notice of Conversion form be required in order to exercise such conversion rights. The Company shall honor the conversion of the Note and shall deliver Conversion Shares in accordance with the terms, conditions and time periods set forth in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laws of the states of the United States, and shall provide evidence of such actions promptly upon request of any Purchaser.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Subsequent Registrations</w:t>
      </w:r>
      <w:r>
        <w:rPr>
          <w:rFonts w:ascii="Times New Roman" w:cs="Times New Roman" w:eastAsia="Times New Roman" w:hAnsi="Times New Roman"/>
          <w:sz w:val="18"/>
          <w:szCs w:val="18"/>
          <w:color w:val="auto"/>
        </w:rPr>
        <w:t>. If as result of an SEC staff policy, rule, or regulation or for any other reason, the Company is unable to register all of the Purchasers’ Registrable Securities (as defined in the Registration Rights Agreement), then upon the earlier of (i) 30 days (or such earlier time as is permitted by the Staff of the SEC or any rule of the SEC) after any Resale Registration Statement filed pursuant to the Registration Rights Agreement is declared effective by the SEC, or (ii) when the registered but not resold shares of Common Stock fall below 50% of the amount covered by the effective Resale Registration Statement(s), the Company shall file another Resale Registration Statement including all of the remaining Registrable Securities of the Purchaser and comply with the terms and conditions set forth in the Registration Rights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Corporate Existence</w:t>
      </w:r>
      <w:r>
        <w:rPr>
          <w:rFonts w:ascii="Times New Roman" w:cs="Times New Roman" w:eastAsia="Times New Roman" w:hAnsi="Times New Roman"/>
          <w:sz w:val="18"/>
          <w:szCs w:val="18"/>
          <w:color w:val="auto"/>
        </w:rPr>
        <w:t>. The Company shall, until such time as the Purchasers no longer beneficially own any of the Securities, maintain its corporate existence and shall not sell all or substantially all of the Company’s assets, except in the event of a merger or consolidation or sale of all or substantially all of the Company’s assets, where the surviving or successor entity in such transaction (i) assumes the Company’s obligations hereunder and under the Transaction Documents and (ii) is a publicly traded corporation whose common stock is listed for trading or quotation on the Principal Market, any tier of the Nasdaq Stock Market, the New York Stock Exchange, or the NYSE MKT.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No Broker-Dealer Acknowledgement</w:t>
      </w:r>
      <w:r>
        <w:rPr>
          <w:rFonts w:ascii="Times New Roman" w:cs="Times New Roman" w:eastAsia="Times New Roman" w:hAnsi="Times New Roman"/>
          <w:sz w:val="18"/>
          <w:szCs w:val="18"/>
          <w:color w:val="auto"/>
        </w:rPr>
        <w:t>. Absent a final adjudication from a court of competent jurisdiction stating otherwise, the Company shall not, to any Person, institution, governmental, or other entity, state, claim, allege, or in any way assert, that (a) the Purchaser is currently, or ever has been, a broker or dealer under the Exchange Act, or (b) is currently, or ever has been, required to register as a broker or dealer under the Exchange Act.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 any Purchaser, as to such Purchaser’s obligations hereunder only and without any effect whatsoever on the obligations between the Company and the other Purchasers, by written notice to the other parties, or (b) by the Company upon written notice to the Purchasers and the Placement Agent, if the Closing has not been consummated on or before the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Company shall deliver to each Purchaser, prior to the Closing, a completed and executed copy of the Closing Statement, attached hereto as Annex A. The Company shall reimburse the lead Purchaser a non-accountable amount (x) at the Initial Closing Date of $35,000, (y) at each Additional Closing Date of $7,500, and (z) at the Filing Date (as defined in the Registration Rights Agreement) of $7,500, in each case, representing all costs and expenses incurred by it or its affiliates in connection with the structuring, documentation, negotiation and such applicable Closing and in connection with the registration, filing, or qualification pursuant to the Registration Rights Agreement, including, without limitation, as applicable, all reasonable legal fees of outside counsel and disbursements of Glaser Weil Fink Howard Jordan &amp; Shapiro LLP, counsel to the lead Purchaser, any other reasonable fees and expenses in connection with the structuring, documentation, negotiation and closing of the transactions contemplated by the Transaction Documents and due diligence and regulatory filings in connection therewith) (the “</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xml:space="preserve">”) and shall be withheld by the lead Purchaser from its Purchase Price at the such applicable Closing;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Company shall promptly reimburse Glaser Weil Fink Howard Jordan &amp; Shapiro LLP on demand for all Transaction Expenses not so reimbursed through such withholding at a Closing.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Securities to the Purchasers.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No provision of this Agreement may be waived, modified, supplemented or amended except in a written instrument signed by the Company and Purchasers which purchased at least 50.1% in interest of the Securities based on the initial Subscription Amounts hereunder (or, prior to the Closing, the Company and each Purchaser); provided that if any amendment, modification, supplement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supplement, modification or waiver effected in accordance with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shall be binding upon each Purchaser and holder of Securities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The Placement Agent shall be the third party beneficiary of the representations and warranties of the 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the representations and warranties of the Purchasers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and each of the Transaction Documents will be deemed to have been made and delivered in the State of Delaware, and the binding provisions of this Agreement, the Transaction Documents, and the transactions contemplated hereby, will be governed as to validity, interpretation, construction, effect and in all other respects by the internal laws of the State of Delaware, without regard to the conflict of laws principles thereof. Each of the Parties: (i) agrees that any legal suit, Action or Proceeding arising out of or relating to Agreement and/or the transactions contemplated hereby will be instituted exclusively in the Chancery Court of the State of Delaware and the United States District Court for the District of Delaware, (ii) irrevocably waives any objection which it may have or hereafter to the venue of any such suit, action or proceeding, (iii) irrevocably waives, and agrees not to assert in any Action or Proceeding, any claim that it is not personally subject to the jurisdiction of any such court, that such action or proceeding is improper or is an inconvenient venue for such Action or Proceeding, and (iv) irrevocably consents to the exclusive jurisdiction of the Chancery Court of the State of Delaware and the United States District Court for the District of Delaware in any such suit, action or proceeding, waiving any, and consenting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fees, commissions, or other amounts owing under the Transaction Documents, including without limitation any amounts owed to the Placement Agent,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Dispute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540" w:hanging="236"/>
        <w:spacing w:after="0"/>
        <w:tabs>
          <w:tab w:leader="none" w:pos="1540" w:val="left"/>
        </w:tabs>
        <w:numPr>
          <w:ilvl w:val="0"/>
          <w:numId w:val="7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Disputes Regarding Certain Defined Terms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jc w:val="both"/>
        <w:ind w:firstLine="1952"/>
        <w:spacing w:after="0" w:line="254" w:lineRule="auto"/>
        <w:tabs>
          <w:tab w:leader="none" w:pos="216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the Buy-In Price or VWAP (as the case may be) (including, without limitation, a dispute relating to the determination of any of the foregoing) (a “</w:t>
      </w:r>
      <w:r>
        <w:rPr>
          <w:rFonts w:ascii="Times New Roman" w:cs="Times New Roman" w:eastAsia="Times New Roman" w:hAnsi="Times New Roman"/>
          <w:sz w:val="18"/>
          <w:szCs w:val="18"/>
          <w:u w:val="single" w:color="auto"/>
          <w:color w:val="auto"/>
        </w:rPr>
        <w:t>Certain Defined Term Dispute</w:t>
      </w:r>
      <w:r>
        <w:rPr>
          <w:rFonts w:ascii="Times New Roman" w:cs="Times New Roman" w:eastAsia="Times New Roman" w:hAnsi="Times New Roman"/>
          <w:sz w:val="18"/>
          <w:szCs w:val="18"/>
          <w:color w:val="auto"/>
        </w:rPr>
        <w:t xml:space="preserve">”), the Company or the Purchaser (as the case may be) shall submit the Certain Defined Term Dispute to the other party via facsimile or electronic mail within five (5) Business Days after the party learned of the circumstances giving rise to such dispute. If the Purchaser and the Company are unable to promptly resolve such Certain Defined Term Dispute, at any time after the second (2nd) Business Day following such initial notice by the Company or the Purchaser (as the case may be) of such dispute to the Company or the Purchaser (as the case may be), then the Company and the Purchaser may select an independent, reputable investment bank as mutually agreed upon to resolve such dispute. If the Parties cannot agree upon such an investment bank within ten (10) Business Days of the date of the initial notice, the Parties shall submit the dispute pursuant to </w:t>
      </w:r>
      <w:r>
        <w:rPr>
          <w:rFonts w:ascii="Times New Roman" w:cs="Times New Roman" w:eastAsia="Times New Roman" w:hAnsi="Times New Roman"/>
          <w:sz w:val="18"/>
          <w:szCs w:val="18"/>
          <w:u w:val="single" w:color="auto"/>
          <w:color w:val="auto"/>
        </w:rPr>
        <w:t>Section 5.21(b)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ind w:firstLine="1952"/>
        <w:spacing w:after="0" w:line="253" w:lineRule="auto"/>
        <w:tabs>
          <w:tab w:leader="none" w:pos="221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 and the Company shall each deliver to such investment bank (A) a copy of the initial dispute submission so delivered in accordance with the above and (B) written documentation supporting its position with respect to such dispute, in each case, no later than 5:00 p.m. (New York time) by the fifth (5th) Business Day immediately following the date on which such investment bank was selected (the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Dispute Documentation</w:t>
      </w:r>
      <w:r>
        <w:rPr>
          <w:rFonts w:ascii="Times New Roman" w:cs="Times New Roman" w:eastAsia="Times New Roman" w:hAnsi="Times New Roman"/>
          <w:sz w:val="18"/>
          <w:szCs w:val="18"/>
          <w:color w:val="auto"/>
        </w:rPr>
        <w:t>”) (it being understood and agreed that if either the Purchaser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with respect to such dispute and such investment bank shall resolve such dispute based solely on the Required Dispute Documentation that was delivered to such investment bank prior to the Dispute Submission Deadline). Unless otherwise agreed to in writing by both the Company and the Purchaser or otherwise requested by such investment bank, neither the Company nor the Purchaser shall be entitled to deliver or submit any written documentation or other support to such investment bank in connection with such dispute (other than the Required Dispute Documentation).</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Purchaser shall cause such investment bank to determine the resolution of such dispute and notify the Company and the Purchaser of such resolution no later than ten (10) Business Days immediately following the Dispute Submission Deadline. The fees and expenses of such investment bank shall be borne by the losing party, and such investment bank’s resolution of such dispute shall be final and binding upon all Parties. The terms of this Agreement, each other applicable Transaction Document, and the Required Dispute Documentation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Agreement and any other applicable Transaction Documents.</w:t>
      </w:r>
    </w:p>
    <w:p>
      <w:pPr>
        <w:spacing w:after="0" w:line="19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Company and the Purchaser expressly acknowledge and agree that (i) this Section 5.21(a) constitutes an agreement to arbitrate between the Company and the Purchaser (and constitutes an arbitration agreement) under § 5701, et seq. of the Delaware Code Title 10 with respect to the dispute described in Section 5.21 and that both the Company and the Purchaser are authorized to apply for an order to compel arbitration pursuant to Delaware Code Title 10 § 5703 in order to compel compliance with this Section 5.21.</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6"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 xml:space="preserve">. Subject to Section 5.2q(a), each party hereby irrevocably submits that any dispute, controversy, or claim arising out of or relating to this Agreement or any Transaction Document (including whether any such dispute is arbitrable), shall be submitted to the exclusive jurisdiction of the Chancery Court of the State of Delaware and the United States District Court for the District of Delaware. Each party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via registered or certified mail or overnight delivery (with evidence of delivery)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w:t>
      </w:r>
      <w:r>
        <w:rPr>
          <w:rFonts w:ascii="Times New Roman" w:cs="Times New Roman" w:eastAsia="Times New Roman" w:hAnsi="Times New Roman"/>
          <w:sz w:val="18"/>
          <w:szCs w:val="18"/>
          <w:b w:val="1"/>
          <w:bCs w:val="1"/>
          <w:color w:val="auto"/>
        </w:rPr>
        <w:t>EACH PARTY KNOWINGLY AND INTENTIONALLY, TO THE</w:t>
      </w:r>
    </w:p>
    <w:p>
      <w:pPr>
        <w:spacing w:after="0" w:line="6" w:lineRule="exact"/>
        <w:rPr>
          <w:rFonts w:ascii="Times New Roman" w:cs="Times New Roman" w:eastAsia="Times New Roman" w:hAnsi="Times New Roman"/>
          <w:sz w:val="18"/>
          <w:szCs w:val="18"/>
          <w:u w:val="single" w:color="auto"/>
          <w:color w:val="auto"/>
        </w:rPr>
      </w:pPr>
    </w:p>
    <w:p>
      <w:pPr>
        <w:jc w:val="both"/>
        <w:spacing w:after="0" w:line="253"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b w:val="1"/>
          <w:bCs w:val="1"/>
          <w:color w:val="auto"/>
        </w:rPr>
        <w:t>GREATEST EXTENT PERMITTED BY APPLICABLE LAW, HEREBY ABSOLUTELY, UNCONDITIONALLY, IRREVOCABLY, AND EXPRESSLY WAIVES FOREVER ANY RIGHT IT MAY HAVE, AND AGREES NOT TO REQUEST, A JURY TRIAL FOR THE ADJUDICATION OF ANY DISPUTE HEREUNDER OR IN CONNECTION HEREWITH OR ARISING OUT OF THIS AGREEMENT OR ANY TRANSACTION CONTEMPLATED HEREBY</w:t>
      </w:r>
      <w:r>
        <w:rPr>
          <w:rFonts w:ascii="Times New Roman" w:cs="Times New Roman" w:eastAsia="Times New Roman" w:hAnsi="Times New Roman"/>
          <w:sz w:val="18"/>
          <w:szCs w:val="18"/>
          <w:color w:val="auto"/>
        </w:rPr>
        <w:t>. The Company and the Purchaser agree that all dispute resolution proceedings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Section 5.21 may be conducted in a virtual setting.</w:t>
      </w:r>
    </w:p>
    <w:p>
      <w:pPr>
        <w:spacing w:after="0" w:line="187" w:lineRule="exact"/>
        <w:rPr>
          <w:sz w:val="20"/>
          <w:szCs w:val="20"/>
          <w:color w:val="auto"/>
        </w:rPr>
      </w:pPr>
    </w:p>
    <w:p>
      <w:pPr>
        <w:jc w:val="both"/>
        <w:ind w:firstLine="656"/>
        <w:spacing w:after="0" w:line="266" w:lineRule="auto"/>
        <w:tabs>
          <w:tab w:leader="none" w:pos="910"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Prevailing Party Attorneys’ Fees</w:t>
      </w:r>
      <w:r>
        <w:rPr>
          <w:rFonts w:ascii="Times New Roman" w:cs="Times New Roman" w:eastAsia="Times New Roman" w:hAnsi="Times New Roman"/>
          <w:sz w:val="18"/>
          <w:szCs w:val="18"/>
          <w:color w:val="auto"/>
        </w:rPr>
        <w:t xml:space="preserve">. If any party shall commence an Action to enforce any provisions of the Transaction Documents, then, in addition to the obligations of the Company under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the prevailing party in such Action shall be reimbursed by the non-prevailing party for its reasonable attorneys’ fees and other costs and expenses incurred with the investigation, preparation and prosecution of such Action..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0" w:name="page61"/>
    <w:bookmarkEnd w:id="6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tc>
        <w:tc>
          <w:tcPr>
            <w:tcW w:w="220" w:type="dxa"/>
            <w:vAlign w:val="bottom"/>
          </w:tcPr>
          <w:p>
            <w:pPr>
              <w:spacing w:after="0"/>
              <w:rPr>
                <w:sz w:val="17"/>
                <w:szCs w:val="17"/>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Sports Entertainment Gaming Global Corporation</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5049 Edwards Ranch Rd., 4th Floor</w:t>
            </w:r>
          </w:p>
        </w:tc>
        <w:tc>
          <w:tcPr>
            <w:tcW w:w="0" w:type="dxa"/>
            <w:vAlign w:val="bottom"/>
          </w:tcPr>
          <w:p>
            <w:pPr>
              <w:spacing w:after="0"/>
              <w:rPr>
                <w:sz w:val="1"/>
                <w:szCs w:val="1"/>
                <w:color w:val="auto"/>
              </w:rPr>
            </w:pPr>
          </w:p>
        </w:tc>
      </w:tr>
      <w:tr>
        <w:trPr>
          <w:trHeight w:val="234"/>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Robert J. Stubblefield</w:t>
            </w:r>
          </w:p>
        </w:tc>
        <w:tc>
          <w:tcPr>
            <w:tcW w:w="220" w:type="dxa"/>
            <w:vAlign w:val="bottom"/>
          </w:tcPr>
          <w:p>
            <w:pPr>
              <w:spacing w:after="0"/>
              <w:rPr>
                <w:sz w:val="20"/>
                <w:szCs w:val="20"/>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Fort Worth, Texas 76109</w:t>
            </w:r>
          </w:p>
        </w:tc>
        <w:tc>
          <w:tcPr>
            <w:tcW w:w="0" w:type="dxa"/>
            <w:vAlign w:val="bottom"/>
          </w:tcPr>
          <w:p>
            <w:pPr>
              <w:spacing w:after="0"/>
              <w:rPr>
                <w:sz w:val="1"/>
                <w:szCs w:val="1"/>
                <w:color w:val="auto"/>
              </w:rPr>
            </w:pPr>
          </w:p>
        </w:tc>
      </w:tr>
      <w:tr>
        <w:trPr>
          <w:trHeight w:val="221"/>
        </w:trPr>
        <w:tc>
          <w:tcPr>
            <w:tcW w:w="580" w:type="dxa"/>
            <w:vAlign w:val="bottom"/>
            <w:vMerge w:val="continue"/>
          </w:tcPr>
          <w:p>
            <w:pPr>
              <w:spacing w:after="0"/>
              <w:rPr>
                <w:sz w:val="18"/>
                <w:szCs w:val="18"/>
                <w:color w:val="auto"/>
              </w:rPr>
            </w:pPr>
          </w:p>
        </w:tc>
        <w:tc>
          <w:tcPr>
            <w:tcW w:w="50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line="136" w:lineRule="exact"/>
              <w:rPr>
                <w:sz w:val="20"/>
                <w:szCs w:val="20"/>
                <w:color w:val="auto"/>
              </w:rPr>
            </w:pPr>
            <w:r>
              <w:rPr>
                <w:rFonts w:ascii="Times New Roman" w:cs="Times New Roman" w:eastAsia="Times New Roman" w:hAnsi="Times New Roman"/>
                <w:sz w:val="15"/>
                <w:szCs w:val="15"/>
                <w:color w:val="auto"/>
              </w:rPr>
              <w:t>Name:</w:t>
            </w:r>
          </w:p>
        </w:tc>
        <w:tc>
          <w:tcPr>
            <w:tcW w:w="50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Robert J. Stubblefield</w:t>
            </w:r>
          </w:p>
        </w:tc>
        <w:tc>
          <w:tcPr>
            <w:tcW w:w="220" w:type="dxa"/>
            <w:vAlign w:val="bottom"/>
          </w:tcPr>
          <w:p>
            <w:pPr>
              <w:spacing w:after="0"/>
              <w:rPr>
                <w:sz w:val="13"/>
                <w:szCs w:val="13"/>
                <w:color w:val="auto"/>
              </w:rPr>
            </w:pPr>
          </w:p>
        </w:tc>
        <w:tc>
          <w:tcPr>
            <w:tcW w:w="3600" w:type="dxa"/>
            <w:vAlign w:val="bottom"/>
            <w:gridSpan w:val="4"/>
          </w:tcPr>
          <w:p>
            <w:pPr>
              <w:spacing w:after="0" w:line="136" w:lineRule="exact"/>
              <w:rPr>
                <w:sz w:val="20"/>
                <w:szCs w:val="20"/>
                <w:color w:val="auto"/>
              </w:rPr>
            </w:pPr>
            <w:r>
              <w:rPr>
                <w:rFonts w:ascii="Times New Roman" w:cs="Times New Roman" w:eastAsia="Times New Roman" w:hAnsi="Times New Roman"/>
                <w:sz w:val="15"/>
                <w:szCs w:val="15"/>
                <w:color w:val="auto"/>
              </w:rPr>
              <w:t>Email:</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 [Interim] Chief Executive Officer &amp; President</w:t>
            </w:r>
          </w:p>
        </w:tc>
        <w:tc>
          <w:tcPr>
            <w:tcW w:w="220" w:type="dxa"/>
            <w:vAlign w:val="bottom"/>
          </w:tcPr>
          <w:p>
            <w:pPr>
              <w:spacing w:after="0"/>
              <w:rPr>
                <w:sz w:val="18"/>
                <w:szCs w:val="18"/>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Attention: Robert J. Stubblefield</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 Ali Law, PLLC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5656 N Central Expy Unit 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75206-0952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color w:val="auto"/>
        </w:rPr>
        <w:t>[PURCHASER SIGNATURE PAGES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SPORTS ENTERTAINMENT GAMING GLOBAL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PURCHASE AGREEMENT]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Alumni Capital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Purchaser: /s/ Ashkan Mapar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Ashkan Mapar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$10,000,000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NEITHER THE ISSUANCE AND SALE OF THE SECURITIES REPRESENTED BY THIS NOTE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SECTIONS 3(c)(iii) AND 20(a) HEREOF. THE PRINCIPAL AMOUNT REPRESENTED BY THIS NOTE AND, ACCORDINGLY, THE SECURITIES ISSUABLE UPON CONVERSION HEREOF MAY BE LESS THAN THE AMOUNTS SET FORTH ON THE FACE HEREOF PURSUANT TO SECTION 3(c)(iii) OF THIS NOTE.</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NOTE HAS BEEN ISSUED WITH ORIGINAL ISSUE DISCOUNT (“OID”) OF 15%. PURSUANT TO TREASURY REGULATION §1.1275-3(b)(1). ROBERT J. STUBBLEFIELD, A REPRESENTATIVE OF THE COMPANY, WILL, BEGINNING TEN DAYS AFTER THE ISSUANCE DATE OF THIS NOTE, PROMPTLY MAKE AVAILABLE TO THE HOLDER UPON REQUEST THE INFORMATION DESCRIBED IN TREASURY REGULATION §1.1275-3(b)(1)(i). ROBERT J. STUBBLEFIELD MAY BE REACHED AT THE TELEPHONE NUMBER HERETOFORE PROVIDED TO THE HOLDER.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UNSECURED CONVERTIBLE PROMISSORY NOTE</w:t>
      </w:r>
    </w:p>
    <w:p>
      <w:pPr>
        <w:spacing w:after="0" w:line="229"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8"/>
          <w:szCs w:val="18"/>
          <w:color w:val="auto"/>
        </w:rPr>
        <w:t>Issuance Date: March 16, 2026</w:t>
      </w:r>
      <w:r>
        <w:rPr>
          <w:sz w:val="20"/>
          <w:szCs w:val="20"/>
          <w:color w:val="auto"/>
        </w:rPr>
        <w:tab/>
      </w:r>
      <w:r>
        <w:rPr>
          <w:rFonts w:ascii="Times New Roman" w:cs="Times New Roman" w:eastAsia="Times New Roman" w:hAnsi="Times New Roman"/>
          <w:sz w:val="17"/>
          <w:szCs w:val="17"/>
          <w:color w:val="auto"/>
        </w:rPr>
        <w:t>Original Principal Amount: U.S. $3,529,411.76</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FOR VALUE RECEIVED, </w:t>
      </w:r>
      <w:r>
        <w:rPr>
          <w:rFonts w:ascii="Times New Roman" w:cs="Times New Roman" w:eastAsia="Times New Roman" w:hAnsi="Times New Roman"/>
          <w:sz w:val="18"/>
          <w:szCs w:val="18"/>
          <w:color w:val="auto"/>
        </w:rPr>
        <w:t>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order of ALUMNI CAPITAL LP or its registered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forth above as the Original Principal Amount (as reduced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or upon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rate of twelve percent (12%) per annum from the Issuance Date, and upon the occurrence and during the continuation of an Event of Default (as defined below), to pay interest at the applicable Default Rate (as defined below), until the same becomes due and payable, whether upon the Maturity Date or upon acceleration, conversion, redemption or otherwise (in each case in accordance with the terms hereof). This Unsecured Convertible Promissory Note (including all Unsecured Convertible Promissory Notes issued in exchange, transfer or replacement hereof, this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one of an issue of Unsecured Convertible Promissory Notes issued pursuant to the Securities Purchase Agreement dated as of March 16, 2026 (the “</w:t>
      </w:r>
      <w:r>
        <w:rPr>
          <w:rFonts w:ascii="Times New Roman" w:cs="Times New Roman" w:eastAsia="Times New Roman" w:hAnsi="Times New Roman"/>
          <w:sz w:val="18"/>
          <w:szCs w:val="18"/>
          <w:u w:val="single" w:color="auto"/>
          <w:color w:val="auto"/>
        </w:rPr>
        <w:t>Subscription Date</w:t>
      </w:r>
      <w:r>
        <w:rPr>
          <w:rFonts w:ascii="Times New Roman" w:cs="Times New Roman" w:eastAsia="Times New Roman" w:hAnsi="Times New Roman"/>
          <w:sz w:val="18"/>
          <w:szCs w:val="18"/>
          <w:color w:val="auto"/>
        </w:rPr>
        <w:t>”), by and among the Company and the investors (the “</w:t>
      </w:r>
      <w:r>
        <w:rPr>
          <w:rFonts w:ascii="Times New Roman" w:cs="Times New Roman" w:eastAsia="Times New Roman" w:hAnsi="Times New Roman"/>
          <w:sz w:val="18"/>
          <w:szCs w:val="18"/>
          <w:u w:val="single" w:color="auto"/>
          <w:color w:val="auto"/>
        </w:rPr>
        <w:t>Buyers</w:t>
      </w:r>
      <w:r>
        <w:rPr>
          <w:rFonts w:ascii="Times New Roman" w:cs="Times New Roman" w:eastAsia="Times New Roman" w:hAnsi="Times New Roman"/>
          <w:sz w:val="18"/>
          <w:szCs w:val="18"/>
          <w:color w:val="auto"/>
        </w:rPr>
        <w:t>”) referred to therein, as amended from time to time (collectively,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and such other Unsecured Convertible Promissory Notes, the “</w:t>
      </w:r>
      <w:r>
        <w:rPr>
          <w:rFonts w:ascii="Times New Roman" w:cs="Times New Roman" w:eastAsia="Times New Roman" w:hAnsi="Times New Roman"/>
          <w:sz w:val="18"/>
          <w:szCs w:val="18"/>
          <w:u w:val="single" w:color="auto"/>
          <w:color w:val="auto"/>
        </w:rPr>
        <w:t>Other Notes</w:t>
      </w:r>
      <w:r>
        <w:rPr>
          <w:rFonts w:ascii="Times New Roman" w:cs="Times New Roman" w:eastAsia="Times New Roman" w:hAnsi="Times New Roman"/>
          <w:sz w:val="18"/>
          <w:szCs w:val="18"/>
          <w:color w:val="auto"/>
        </w:rPr>
        <w:t>”). Certain capitalized terms used herein are defined in Section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3" w:name="page64"/>
    <w:bookmarkEnd w:id="63"/>
    <w:p>
      <w:pPr>
        <w:jc w:val="both"/>
        <w:ind w:firstLine="656"/>
        <w:spacing w:after="0" w:line="258" w:lineRule="auto"/>
        <w:tabs>
          <w:tab w:leader="none" w:pos="841"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OF PRINCIPAL</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accrued and unpaid Late Charges (as defined in Section 26(c)) on such Principal and Interest. Notwithstanding anything herein to the contrary, with respect to any conversion, redemption, or prepayment hereunder, as applicable, the Company shall convert or redeem, as applicable, first, all accrued and unpaid Late Charges on any outstanding Principal and Interest hereunder, and all other amounts owed to the Holder under any other Transaction Document, second, all accrued and unpaid Interest hereunder, and third, the outstanding Principal hereunder.</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 FROM PROCEEDS</w:t>
      </w:r>
      <w:r>
        <w:rPr>
          <w:rFonts w:ascii="Times New Roman" w:cs="Times New Roman" w:eastAsia="Times New Roman" w:hAnsi="Times New Roman"/>
          <w:sz w:val="18"/>
          <w:szCs w:val="18"/>
          <w:color w:val="auto"/>
        </w:rPr>
        <w:t>. Notwithstanding Section 1 above, the Company shall use (a) fifty percent (50%) of the net proceeds received by the Company from any offering of securities resulting in gross proceeds in excess of $5,000,000 (other than pursuant to employee benefit plans or upon exercise of outstanding options or warrants) and (b) thirty three and one-third percent (33.33%) of the net proceeds received by the Company from any Equity Line of Credit or At-the-Market Agreement, in each case to pay off the outstanding Principal of this Note (including accrued and unpaid Interest and Late Charges) until this Note is paid in full. If such amounts are insufficient to pay off the entire outstanding Principal of this Note (including accrued and unpaid Interest and Late Charges), then such amounts shall be applied in accordance with Section 1.) Notwithstanding anything herein to the contrary, with respect to any mandatory prepayment hereunder, the Company shall first prepay the Third Tranche Note (applied in accordance with Section 1), then the Second Tranche Note (applied in accordance with Section 1), and then the First Tranche Note (applied in accordance with Section 1). Such mandatory prepayments shall be made within five (5) Business Days of the Company’s receipt of such proceeds.</w:t>
      </w:r>
    </w:p>
    <w:p>
      <w:pPr>
        <w:spacing w:after="0" w:line="188" w:lineRule="exact"/>
        <w:rPr>
          <w:rFonts w:ascii="Times New Roman" w:cs="Times New Roman" w:eastAsia="Times New Roman" w:hAnsi="Times New Roman"/>
          <w:sz w:val="18"/>
          <w:szCs w:val="18"/>
          <w:color w:val="auto"/>
        </w:rPr>
      </w:pPr>
    </w:p>
    <w:p>
      <w:pPr>
        <w:jc w:val="both"/>
        <w:ind w:firstLine="656"/>
        <w:spacing w:after="0" w:line="256" w:lineRule="auto"/>
        <w:tabs>
          <w:tab w:leader="none" w:pos="82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OID; INTEREST; DEFAULT RATE</w:t>
      </w:r>
      <w:r>
        <w:rPr>
          <w:rFonts w:ascii="Times New Roman" w:cs="Times New Roman" w:eastAsia="Times New Roman" w:hAnsi="Times New Roman"/>
          <w:sz w:val="18"/>
          <w:szCs w:val="18"/>
          <w:color w:val="auto"/>
        </w:rPr>
        <w:t>. This Note has been issued with an original issue discount of fifteen percent (15%). Interest shall accrue hereunder on the outstanding Principal at a rate of twelve percent (12%) per annum from the Issuance Date. From and after the occurrence and during the continuance of any Event of Default, or if this Note is not repaid or converted by the Maturity Date, Interest shall accrue hereunder at a rate of eighteen percent (18%) per annum (the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Interest shall be computed on the outstanding Principal of this Note on the basis of a 360-day year and twelve 30-day months, shall compound each calendar month, and shall be payable in arrears on the first Trading Day in the calendar month following the calendar month in which Interest accrues hereunder (each, an “</w:t>
      </w:r>
      <w:r>
        <w:rPr>
          <w:rFonts w:ascii="Times New Roman" w:cs="Times New Roman" w:eastAsia="Times New Roman" w:hAnsi="Times New Roman"/>
          <w:sz w:val="18"/>
          <w:szCs w:val="18"/>
          <w:u w:val="single" w:color="auto"/>
          <w:color w:val="auto"/>
        </w:rPr>
        <w:t>Interest Date</w:t>
      </w:r>
      <w:r>
        <w:rPr>
          <w:rFonts w:ascii="Times New Roman" w:cs="Times New Roman" w:eastAsia="Times New Roman" w:hAnsi="Times New Roman"/>
          <w:sz w:val="18"/>
          <w:szCs w:val="18"/>
          <w:color w:val="auto"/>
        </w:rPr>
        <w:t>”), with the first Interest Date being April 1, 2026.</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NOTES</w:t>
      </w:r>
      <w:r>
        <w:rPr>
          <w:rFonts w:ascii="Times New Roman" w:cs="Times New Roman" w:eastAsia="Times New Roman" w:hAnsi="Times New Roman"/>
          <w:sz w:val="18"/>
          <w:szCs w:val="18"/>
          <w:color w:val="auto"/>
        </w:rPr>
        <w:t>. At any time after the Issuance Date, this Note shall be convertible into validly issued, fully paid and non-assessable shares of Common Stock (as defined below), on the terms and conditions set forth in this Section 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jc w:val="both"/>
        <w:ind w:firstLine="1304"/>
        <w:spacing w:after="0" w:line="255" w:lineRule="auto"/>
        <w:tabs>
          <w:tab w:leader="none" w:pos="1554"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Subject to the provisions of Section 3(d), at any time or times on or after the Issuance Date, the Holder shall be entitled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number of shares of Common Stock issuable upon conversion of any Conversion Amount pursuant to Section 3(a)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5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sum of (A) the portion of the Principal of this Note to be converted, redeemed or otherwise with respect to which this determination is being made, (B) accrued and unpaid Interest with respect to such Principal of this Note, (C) accrued and unpaid Late Charges with respect to such Principal of this Note and Interest, and (D) any other unpaid amounts pursuant to the Transaction Documents, if any.</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2"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or other date of determination, subject to adjustment as provided herein, the lower of (i) the Closing Sale Price of the Common Stock on the Issuance Date Specified above and (ii) 95% of the lowest daily VWAP of the Common Stock during the five (5) consecutive Trading Day period ending and including the Trading Day immediately preceding the Conversion Date.</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59"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shares of Common Stock on any date (a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xml:space="preserve">”), the Holder shall deliver (whether via electronic mail or otherwise), for receipt on or prior to 11:59 p.m., New York time, on such date, a copy of an 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xml:space="preserve">”) to the Company. If required by Section 3(c)(iii), within two (2) Trading Days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20(b)). On or before the first (1st) Trading Day following the date of receipt of a Conversion Notice, the Company shall transmit by electronic mail an acknowledgment, in the form attached hereto as </w:t>
      </w:r>
      <w:r>
        <w:rPr>
          <w:rFonts w:ascii="Times New Roman" w:cs="Times New Roman" w:eastAsia="Times New Roman" w:hAnsi="Times New Roman"/>
          <w:sz w:val="18"/>
          <w:szCs w:val="18"/>
          <w:u w:val="single" w:color="auto"/>
          <w:color w:val="auto"/>
        </w:rPr>
        <w:t>Exhibit II</w:t>
      </w:r>
      <w:r>
        <w:rPr>
          <w:rFonts w:ascii="Times New Roman" w:cs="Times New Roman" w:eastAsia="Times New Roman" w:hAnsi="Times New Roman"/>
          <w:sz w:val="18"/>
          <w:szCs w:val="18"/>
          <w:color w:val="auto"/>
        </w:rPr>
        <w:t>, of confirmation of receipt of such Conversion Notice and representation as to whether such shares of Common Stock may then be resold pursuant to Rule 144 or an effective and available registration statement (each, an “</w:t>
      </w: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to the Holder and the Company’s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which confirmation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 w:cs="Times New Roman" w:eastAsia="Times New Roman" w:hAnsi="Times New Roman"/>
          <w:sz w:val="18"/>
          <w:szCs w:val="18"/>
          <w:u w:val="single" w:color="auto"/>
          <w:color w:val="auto"/>
        </w:rPr>
        <w:t>Share Delivery Deadline</w:t>
      </w:r>
      <w:r>
        <w:rPr>
          <w:rFonts w:ascii="Times New Roman" w:cs="Times New Roman" w:eastAsia="Times New Roman" w:hAnsi="Times New Roman"/>
          <w:sz w:val="18"/>
          <w:szCs w:val="18"/>
          <w:color w:val="auto"/>
        </w:rPr>
        <w:t>”), the Company shall (1)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 Program (“</w:t>
      </w:r>
      <w:r>
        <w:rPr>
          <w:rFonts w:ascii="Times New Roman" w:cs="Times New Roman" w:eastAsia="Times New Roman" w:hAnsi="Times New Roman"/>
          <w:sz w:val="18"/>
          <w:szCs w:val="18"/>
          <w:u w:val="single" w:color="auto"/>
          <w:color w:val="auto"/>
        </w:rPr>
        <w:t>FAST</w:t>
      </w:r>
      <w:r>
        <w:rPr>
          <w:rFonts w:ascii="Times New Roman" w:cs="Times New Roman" w:eastAsia="Times New Roman" w:hAnsi="Times New Roman"/>
          <w:sz w:val="18"/>
          <w:szCs w:val="18"/>
          <w:color w:val="auto"/>
        </w:rPr>
        <w:t>”),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FAST,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20(d))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Registration Rights Agreement) and prior to the Holder’s receipt of the notice of a Grace Period (as defined in the Registration Rights Agreement), the Company shall cause the Transfer Agent to deliver shares of Common Stock to the Holder (or its designee) with no restrictive legend in connection with any sale of Registrable Securities (as defined in the Registration Rights Agreement) with respect to which the Holder has entered into a contract for sale, and delivered a copy of the prospectus included as part of the particular Registration Statement to the extent applicable, and for which the Holder has not yet settled. At any time, if the Company receives a Conversion Notice at a time the Conversion Price then in effect is less than the Floor Price then in Effect (unless such Floor Price is lowered with the written consent of the Company and the Holder), the Company shall issue a number of shares of Common Stock equal to the Conversion Amount divided by such Floor Price and pay the difference in cash equal to (i) (A) Floor Price minus</w:t>
      </w:r>
    </w:p>
    <w:p>
      <w:pPr>
        <w:spacing w:after="0" w:line="4" w:lineRule="exact"/>
        <w:rPr>
          <w:rFonts w:ascii="Times New Roman" w:cs="Times New Roman" w:eastAsia="Times New Roman" w:hAnsi="Times New Roman"/>
          <w:sz w:val="18"/>
          <w:szCs w:val="18"/>
          <w:color w:val="auto"/>
        </w:rPr>
      </w:pPr>
    </w:p>
    <w:p>
      <w:pPr>
        <w:ind w:right="20" w:firstLine="8"/>
        <w:spacing w:after="0" w:line="260"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that would have been in effect on such Conversion Date notwithstanding the Floor Price, multiplied by (ii) the number of Conversion Shares issuable on such Conversion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1952"/>
        <w:spacing w:after="0" w:line="251" w:lineRule="auto"/>
        <w:tabs>
          <w:tab w:leader="none" w:pos="223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Failure to Timely Convert</w:t>
      </w:r>
      <w:r>
        <w:rPr>
          <w:rFonts w:ascii="Times New Roman" w:cs="Times New Roman" w:eastAsia="Times New Roman" w:hAnsi="Times New Roman"/>
          <w:sz w:val="18"/>
          <w:szCs w:val="18"/>
          <w:color w:val="auto"/>
        </w:rPr>
        <w:t>. If the Company shall fail, for any reason or for no reason, on or prior to the applicable Share Delivery Deadline, either (I) if the Transfer Agent is not participating in FAST, to issue and deliver to the Holder (or its designee) a certificate for the number of shares of Common Stock to which the Holder is entitled and register such shares of Common Stock on the Company’s share register or, if the Transfer Agent is participating in FAST, to credit the balance account of the Holder or the Holder’s designee with DTC for such number of shares of Common Stock to which the Holder is entitled upon the Holder’s conversion of this Note (as the case may be) or (II) if the Registration Statement covering the resale of the shares of Common Stock that are the subject of the Conversion Notice (the “</w:t>
      </w:r>
      <w:r>
        <w:rPr>
          <w:rFonts w:ascii="Times New Roman" w:cs="Times New Roman" w:eastAsia="Times New Roman" w:hAnsi="Times New Roman"/>
          <w:sz w:val="18"/>
          <w:szCs w:val="18"/>
          <w:u w:val="single" w:color="auto"/>
          <w:color w:val="auto"/>
        </w:rPr>
        <w:t>Unavailable Conversion Shares</w:t>
      </w:r>
      <w:r>
        <w:rPr>
          <w:rFonts w:ascii="Times New Roman" w:cs="Times New Roman" w:eastAsia="Times New Roman" w:hAnsi="Times New Roman"/>
          <w:sz w:val="18"/>
          <w:szCs w:val="18"/>
          <w:color w:val="auto"/>
        </w:rPr>
        <w:t>”) is not available for the resale of such Unavailable Conversion Shares and the Company fails to promptly, but in no event later than as required pursuant to the Registration Rights Agreement (x) so notify the Holder and (y) deliver the shares of Common Stock electronically without any restrictive legend by crediting such aggregate number of shares of Common Stock to which the Holder is entitled pursuant to such conversion to the Holder’s or its designee’s balance account with DTC through its Deposit/Withdrawal At Custodian system (the event described in the immediately foregoing clause (II) is hereinafter referred as a “</w:t>
      </w:r>
      <w:r>
        <w:rPr>
          <w:rFonts w:ascii="Times New Roman" w:cs="Times New Roman" w:eastAsia="Times New Roman" w:hAnsi="Times New Roman"/>
          <w:sz w:val="18"/>
          <w:szCs w:val="18"/>
          <w:b w:val="1"/>
          <w:bCs w:val="1"/>
          <w:color w:val="auto"/>
        </w:rPr>
        <w:t>Notice Failure</w:t>
      </w:r>
      <w:r>
        <w:rPr>
          <w:rFonts w:ascii="Times New Roman" w:cs="Times New Roman" w:eastAsia="Times New Roman" w:hAnsi="Times New Roman"/>
          <w:sz w:val="18"/>
          <w:szCs w:val="18"/>
          <w:color w:val="auto"/>
        </w:rPr>
        <w:t>” and together with the event described in clause (I) above, a “</w:t>
      </w:r>
      <w:r>
        <w:rPr>
          <w:rFonts w:ascii="Times New Roman" w:cs="Times New Roman" w:eastAsia="Times New Roman" w:hAnsi="Times New Roman"/>
          <w:sz w:val="18"/>
          <w:szCs w:val="18"/>
          <w:b w:val="1"/>
          <w:bCs w:val="1"/>
          <w:color w:val="auto"/>
        </w:rPr>
        <w:t>Conversion Failure</w:t>
      </w:r>
      <w:r>
        <w:rPr>
          <w:rFonts w:ascii="Times New Roman" w:cs="Times New Roman" w:eastAsia="Times New Roman" w:hAnsi="Times New Roman"/>
          <w:sz w:val="18"/>
          <w:szCs w:val="18"/>
          <w:color w:val="auto"/>
        </w:rPr>
        <w:t>”), then, in addition to all other remedies available to the Holder, (1) the Company shall pay in cash to the Holder on each day after such Share Delivery Deadline that the issuance of such shares of Common Stock is not timely effected an amount equal to 0.5% of the product of (A) the sum of the number of shares of Common Stock not issued to the Holder on or prior to the Share Delivery Deadline and to which the Holder is entitled, multiplied by (B) the VWAP of the Common Stock on the applicable Conversion Date; provided, that in no event shall the aggregate amount payable pursuant to this clause (1) exceed fifteen percent (15%) of the applicable Conversion Amount and (2) the Holder, upon written notice to the Company, may void its Conversion Notice with respect to, and retain or have returned (as the case may be) any portion of this Note that has not been converted pursuant to such Conversion Notice, provided that the voiding of a Conversion Notice shall not affect the Company’s obligations to make any payments which have accrued prior to the date of such notice pursuant to this Section 3(c)</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6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otherwise. In addition to the foregoing, if on or prior to the Share Delivery Deadline either (A) if the Transfer Agent is not participating in FAST, the Company shall fail to issue and deliver to the Holder (or its designee) a certificate and register such shares of Common Stock on the Company’s share register or, if the Transfer Agent is participating in FAST, the Transfer Agent shall fail to credit the balance account of the Holder or the Holder’s designee with DTC for the number of shares of Common Stock to which the Holder is entitled upon the Holder’s conversion hereunder or pursuant to the Company’s obligation pursuant to clause (II) below or (B) a Notice Failure occurs, and if on or after such Share Delivery Deadline the Holder acquires (in an open market transaction, stock loan or otherwise) shares of Common Stock corresponding to all or any portion of the number of shares of Common Stock issuable upon such conversion that the Holder is entitled to receive from the Company and has not received from the Company in connection with such Conversion Failure or Notice Failure, as applicable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in addition to all other remedies available to the Holder, the Company shall, within five (5) Business Days after receipt of the Holder’s request and in the Holder’s discretion, either: (I) pay cash to the Holder in an amount equal to the Holder’s total purchase price (including brokerage commissions, stock loan costs and other out-of-pocket expenses, if any) for the shares of Common Stock so acquired (including, without limitation, by any other Person in respect, or on behalf, of the Holder)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at which point the Company’s obligation to so issue and deliver such certificate (and to issue such shares of Common Stock) or credit the balance account of such Holder or such Holder’s designee, as applicable, with DTC for the number of shares of Common Stock to which the Holder is entitled upon the Holder’s conversion hereunder (as the case may be) (and to issue such shares of Common Stock) shall terminate, or (II) promptly honor its obligation to so issue and deliver to the Holder a certificate or certificates representing such shares of Common Stock or credit the balance account of such Holder or such Holder’s designee, as applicable, with DTC for the number of shares of Common Stock to which the Holder is entitled upon the Holder’s conversion hereunder (as the case may be) and pay cash to the Holder in an amount equal to the excess (if any) of the Buy-In Price over the product of (x) such number of shares of Common Stock multiplied by (y) the lowest Closing Sale Price of the Common Stock on any Trading Day during the period commencing on the date of the applicable Conversion Notice and ending on the date of such issuance and payment under this clause (II) (the “</w:t>
      </w:r>
      <w:r>
        <w:rPr>
          <w:rFonts w:ascii="Times New Roman" w:cs="Times New Roman" w:eastAsia="Times New Roman" w:hAnsi="Times New Roman"/>
          <w:sz w:val="18"/>
          <w:szCs w:val="18"/>
          <w:u w:val="single" w:color="auto"/>
          <w:color w:val="auto"/>
        </w:rPr>
        <w:t>Buy-In Payment Amount</w:t>
      </w:r>
      <w:r>
        <w:rPr>
          <w:rFonts w:ascii="Times New Roman" w:cs="Times New Roman" w:eastAsia="Times New Roman" w:hAnsi="Times New Roman"/>
          <w:sz w:val="18"/>
          <w:szCs w:val="18"/>
          <w:color w:val="auto"/>
        </w:rPr>
        <w:t>”).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conversion of this Note as required pursuant to the terms hereof.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jc w:val="both"/>
        <w:ind w:firstLine="1952"/>
        <w:spacing w:after="0" w:line="252" w:lineRule="auto"/>
        <w:tabs>
          <w:tab w:leader="none" w:pos="22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Book-Entry</w:t>
      </w:r>
      <w:r>
        <w:rPr>
          <w:rFonts w:ascii="Times New Roman" w:cs="Times New Roman" w:eastAsia="Times New Roman" w:hAnsi="Times New Roman"/>
          <w:sz w:val="18"/>
          <w:szCs w:val="18"/>
          <w:color w:val="auto"/>
        </w:rPr>
        <w:t>. The Company shall maintain a register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for the recordation of the names and addresses of the holders of each Note and the principal amount of the Notes held by such holders (the “</w:t>
      </w:r>
      <w:r>
        <w:rPr>
          <w:rFonts w:ascii="Times New Roman" w:cs="Times New Roman" w:eastAsia="Times New Roman" w:hAnsi="Times New Roman"/>
          <w:sz w:val="18"/>
          <w:szCs w:val="18"/>
          <w:u w:val="single" w:color="auto"/>
          <w:color w:val="auto"/>
        </w:rPr>
        <w:t>Registered Notes</w:t>
      </w:r>
      <w:r>
        <w:rPr>
          <w:rFonts w:ascii="Times New Roman" w:cs="Times New Roman" w:eastAsia="Times New Roman" w:hAnsi="Times New Roman"/>
          <w:sz w:val="18"/>
          <w:szCs w:val="18"/>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20,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spacing w:after="0" w:line="190"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4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Conversion; Disputes</w:t>
      </w:r>
      <w:r>
        <w:rPr>
          <w:rFonts w:ascii="Times New Roman" w:cs="Times New Roman" w:eastAsia="Times New Roman" w:hAnsi="Times New Roman"/>
          <w:sz w:val="18"/>
          <w:szCs w:val="18"/>
          <w:color w:val="auto"/>
        </w:rPr>
        <w:t>. In the event that the Company receives a Conversion Notice from more than one holder of Notes for the same Conversion Date and the Company can convert some, but not all, of such portions of the Notes submitted for conversion, the Company, subject to Section 3(d),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25. If a Conversion Notice delivered to the Company would result in a breach of Section4(d) below, and the Holder does not elect in writing to withdraw, in whole, such Conversion Notice, the Company shall hold such Conversion Notice in abeyance until such time as such Conversion Notice may be satisfied without violating Section 4(d) below (with such calculations thereunder made as of the date such Conversion Notice was initially delivered to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ind w:left="1560" w:hanging="256"/>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Conversions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5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shares of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1934 Act. For purposes of determining the number of outstanding shares of Common Stock the Holder may acquire upon the conversion of this Note without exceeding the Maximum Percentage, the Holder may rely on the number of outstanding shares of Common Stock as reflected in (x) the Company’s most recent Annual Report on Form 10-K, Quarterly Report on Form 10-Q, Current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 w:cs="Times New Roman" w:eastAsia="Times New Roman" w:hAnsi="Times New Roman"/>
          <w:sz w:val="18"/>
          <w:szCs w:val="18"/>
          <w:u w:val="single" w:color="auto"/>
          <w:color w:val="auto"/>
        </w:rPr>
        <w:t>Reported Outstanding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Number</w:t>
      </w:r>
      <w:r>
        <w:rPr>
          <w:rFonts w:ascii="Times New Roman" w:cs="Times New Roman" w:eastAsia="Times New Roman" w:hAnsi="Times New Roman"/>
          <w:sz w:val="18"/>
          <w:szCs w:val="18"/>
          <w:color w:val="auto"/>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shall be deemed null and void and shall be cancelled ab initio, and the Holder shall not have the power to vote or to transfer the Excess Shares. Upon delivery of a written notice to the Company, the Holder may from time to time increase or decrease the Maximum Percentage to any other percentage not in excess of 9.99% as specified in such notice; provided that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1934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limitation contained in this paragraph may not be waived and shall apply to a successor holder of this Note.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1952"/>
        <w:spacing w:after="0" w:line="251" w:lineRule="auto"/>
        <w:tabs>
          <w:tab w:leader="none" w:pos="222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xml:space="preserve"> The Company shall not issue any shares of Common Stock upon conversion of this Note or otherwise pursuant to the terms of this Note if the issuance of such shares of Common Stock would exceed the aggregate number of shares of Common Stock which the Company may issue upon conversion of the Notes or otherwise pursuant to the terms of this Note without breaching the Company’s obligations under the rules or regulations of the Principal Market (the number of shares which may be issued without violating such rules and regulations, including rules related to the aggregate of offerings under NASDAQ Listing Rule 5635(d), the “</w:t>
      </w:r>
      <w:r>
        <w:rPr>
          <w:rFonts w:ascii="Times New Roman" w:cs="Times New Roman" w:eastAsia="Times New Roman" w:hAnsi="Times New Roman"/>
          <w:sz w:val="18"/>
          <w:szCs w:val="18"/>
          <w:u w:val="single" w:color="auto"/>
          <w:color w:val="auto"/>
        </w:rPr>
        <w:t>Exchange Cap</w:t>
      </w:r>
      <w:r>
        <w:rPr>
          <w:rFonts w:ascii="Times New Roman" w:cs="Times New Roman" w:eastAsia="Times New Roman" w:hAnsi="Times New Roman"/>
          <w:sz w:val="18"/>
          <w:szCs w:val="18"/>
          <w:color w:val="auto"/>
        </w:rPr>
        <w:t>”), except that such limitation shall not apply in the event that the Company (A) obtains the approval of its stockholders as required by the applicable rules of the Principal Market for issuances of shares of Common Stock in excess of such amount or (B) obtains a written opinion from counsel to the Company that such approval is not required, which opinion shall be reasonably satisfactory to the Holder. Until such approval or such written opinion is obtained, no Buyer shall be issued in the aggregate, upon conversion of any Notes or otherwise pursuant to the terms of the Notes, shares of Common Stock in an amount greater than the product of (i) the Exchange Cap as of the Issuance Date multiplied by (ii) the quotient of (1) the original principal amount of Notes issued to such Buyer pursuant to the Securities Purchase Agreement on the Closing Date (as defined in the Securities Purchase Agreement) divided by (2) the aggregate original principal amount of all Notes issued to the Buyers pursuant to the Securities Purchase Agreement on the Closing Date (with respect to each Buyer,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 Allocation</w:t>
      </w:r>
      <w:r>
        <w:rPr>
          <w:rFonts w:ascii="Times New Roman" w:cs="Times New Roman" w:eastAsia="Times New Roman" w:hAnsi="Times New Roman"/>
          <w:sz w:val="18"/>
          <w:szCs w:val="18"/>
          <w:color w:val="auto"/>
        </w:rPr>
        <w:t>”). In the event that any Buyer shall sell or otherwise transfer any of such Buyer’s Notes, the transferee shall be allocated a pro rata portion of such Buyer’s Exchange Cap Allocation with respect to such portion of such Notes so transferred, and the restrictions of the prior sentence shall apply to such transferee with respect to the portion of the Exchange Cap Allocation so allocated to such transferee. Upon conversion in full of a holder’s Notes, the difference (if any) between such holder’s Exchange Cap Allocation and the number of shares of Common Stock actually issued to such holder upon such holder’s conversion in full of such Notes shall be allocated to the respective Exchange Cap Allocations of the remaining holders of Notes on a pro rata basis in proportion to the shares of Common Stock underlying the Notes then held by each such holder of Notes. At any time after the Stockholder Meeting Deadline (as defined in the Securities Purchase Agreement), in the event that the Company is prohibited from issuing shares of Common Stock pursuant to this Section 3(d) (the “</w:t>
      </w:r>
      <w:r>
        <w:rPr>
          <w:rFonts w:ascii="Times New Roman" w:cs="Times New Roman" w:eastAsia="Times New Roman" w:hAnsi="Times New Roman"/>
          <w:sz w:val="18"/>
          <w:szCs w:val="18"/>
          <w:u w:val="single" w:color="auto"/>
          <w:color w:val="auto"/>
        </w:rPr>
        <w:t>Exchange Cap Shares</w:t>
      </w:r>
      <w:r>
        <w:rPr>
          <w:rFonts w:ascii="Times New Roman" w:cs="Times New Roman" w:eastAsia="Times New Roman" w:hAnsi="Times New Roman"/>
          <w:sz w:val="18"/>
          <w:szCs w:val="18"/>
          <w:color w:val="auto"/>
        </w:rPr>
        <w:t>”), the Company shall pay cash in exchange for the cancellation of such portion of this Note convertible into such Exchange Cap Shares at a price equal to the sum of (i) the product of (x) such number of Exchange Cap Shares and (y) the greatest Closing Sale Price of the Common Stock on any Trading Day during the period commencing on the date the Holder delivers the applicable Conversion Notice with respect to such Exchange Cap Shares to the Company and ending on the date of such issuance and payment under this Section 3(d) and (ii) to the extent of any Buy-In related thereto, any Buy-In Payment Amount, any brokerage commissions and other out-of-pocket expenses, if any, of the Holder incurred in connection therewith (collectively, the “</w:t>
      </w:r>
      <w:r>
        <w:rPr>
          <w:rFonts w:ascii="Times New Roman" w:cs="Times New Roman" w:eastAsia="Times New Roman" w:hAnsi="Times New Roman"/>
          <w:sz w:val="18"/>
          <w:szCs w:val="18"/>
          <w:u w:val="single" w:color="auto"/>
          <w:color w:val="auto"/>
        </w:rPr>
        <w:t>Exchange Cap Share Cancellation Amount</w:t>
      </w:r>
      <w:r>
        <w:rPr>
          <w:rFonts w:ascii="Times New Roman" w:cs="Times New Roman" w:eastAsia="Times New Roman" w:hAnsi="Times New Roman"/>
          <w:sz w:val="18"/>
          <w:szCs w:val="18"/>
          <w:color w:val="auto"/>
        </w:rPr>
        <w:t>”). For the avoidance of doubt, the Company obtained the approval of its shareholders required under Nasdaq Rule 5635(d) to lift the Exchange Cap limitations described above at its 2025 Annual Meeting held on February 9, 2026; accordingly, such limitations shall not apply to the Note or the Other Notes.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ind w:left="1540" w:hanging="236"/>
        <w:spacing w:after="0"/>
        <w:tabs>
          <w:tab w:leader="none" w:pos="1540" w:val="left"/>
        </w:tabs>
        <w:numPr>
          <w:ilvl w:val="2"/>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Alternate Conversion Upon an Event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64"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Subject to Section 4(d), at any time following an Event of Default Date (as defined below) with respect to an Event of Default that has not been cured prior to the delivery of the Conversion Notice by the Holder to the Company (regardless of whether the Company has delivered an Event of Default Notice to the Holder or otherwise notified the Company that an Event of Default has occurred), the Holder may, at the Holder’s option, convert (each, an “</w:t>
      </w:r>
      <w:r>
        <w:rPr>
          <w:rFonts w:ascii="Times New Roman" w:cs="Times New Roman" w:eastAsia="Times New Roman" w:hAnsi="Times New Roman"/>
          <w:sz w:val="18"/>
          <w:szCs w:val="18"/>
          <w:u w:val="single" w:color="auto"/>
          <w:color w:val="auto"/>
        </w:rPr>
        <w:t>Alternate Conversion</w:t>
      </w:r>
      <w:r>
        <w:rPr>
          <w:rFonts w:ascii="Times New Roman" w:cs="Times New Roman" w:eastAsia="Times New Roman" w:hAnsi="Times New Roman"/>
          <w:sz w:val="18"/>
          <w:szCs w:val="18"/>
          <w:color w:val="auto"/>
        </w:rPr>
        <w:t>”, and the date of such Alternate Conversion, each, an “</w:t>
      </w:r>
      <w:r>
        <w:rPr>
          <w:rFonts w:ascii="Times New Roman" w:cs="Times New Roman" w:eastAsia="Times New Roman" w:hAnsi="Times New Roman"/>
          <w:sz w:val="18"/>
          <w:szCs w:val="18"/>
          <w:u w:val="single" w:color="auto"/>
          <w:color w:val="auto"/>
        </w:rPr>
        <w:t>Alternate Conversion Date</w:t>
      </w:r>
      <w:r>
        <w:rPr>
          <w:rFonts w:ascii="Times New Roman" w:cs="Times New Roman" w:eastAsia="Times New Roman" w:hAnsi="Times New Roman"/>
          <w:sz w:val="18"/>
          <w:szCs w:val="18"/>
          <w:color w:val="auto"/>
        </w:rPr>
        <w:t>”) all, or any part of, the Conversion Amount (such portion of the Conversion Amount subject to such Alternate Conversion, each, an “</w:t>
      </w:r>
      <w:r>
        <w:rPr>
          <w:rFonts w:ascii="Times New Roman" w:cs="Times New Roman" w:eastAsia="Times New Roman" w:hAnsi="Times New Roman"/>
          <w:sz w:val="18"/>
          <w:szCs w:val="18"/>
          <w:u w:val="single" w:color="auto"/>
          <w:color w:val="auto"/>
        </w:rPr>
        <w:t>Alternate Conversion Amount</w:t>
      </w:r>
      <w:r>
        <w:rPr>
          <w:rFonts w:ascii="Times New Roman" w:cs="Times New Roman" w:eastAsia="Times New Roman" w:hAnsi="Times New Roman"/>
          <w:sz w:val="18"/>
          <w:szCs w:val="18"/>
          <w:color w:val="auto"/>
        </w:rPr>
        <w:t>”) into Common Shares at the Alternate Conversion Price.</w:t>
      </w:r>
    </w:p>
    <w:p>
      <w:pPr>
        <w:spacing w:after="0" w:line="187"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22" w:val="left"/>
        </w:tabs>
        <w:numPr>
          <w:ilvl w:val="3"/>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Alternate Conversion. On any Alternate Conversion Date, the Holder may voluntarily convert any Alternate Conversion Amount pursuant to Section 4(c) (with “Alternate Conversion Price” replacing “Conversion Price” for all purposes hereunder with respect to such Alternate Conversion) by designating in the Conversion Notice delivered pursuant to this Section 4(d)(i) of this Note that the Holder is electing to use the Alternate Conversion Price for such conversion. Notwithstanding anything to the contrary in this Section 4(e), but subject to Section 4(d), until the Company delivers shares of Common Stock representing the applicable Alternate Conversion Amount to the Holder, such Alternate Conversion Amount may be converted by the Holder into shares of Common Stock pursuant to Section 4(c) without regard to this Section 4(e).</w:t>
      </w:r>
    </w:p>
    <w:p>
      <w:pPr>
        <w:spacing w:after="0" w:line="187"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EVENT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Each of the following events shall constitute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and each of the events in clauses (ix), (x) and</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constitute a “</w:t>
      </w:r>
      <w:r>
        <w:rPr>
          <w:rFonts w:ascii="Times New Roman" w:cs="Times New Roman" w:eastAsia="Times New Roman" w:hAnsi="Times New Roman"/>
          <w:sz w:val="18"/>
          <w:szCs w:val="18"/>
          <w:u w:val="single" w:color="auto"/>
          <w:color w:val="auto"/>
        </w:rPr>
        <w:t>Bankruptcy Event of Default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78"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applicable Registration Statement (as defined in the Registration Rights Agreement) to be filed with the SEC on or prior to the date that is ten (10) days after the applicable Filing Deadline (as defined in the Registration Rights Agreement) or the failure of the applicable Registration Statement to be declared effective by the SEC on or prior to the date that is ten (10) days after the applicable Effectiveness Deadline (as defined in the Registration Rights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jc w:val="both"/>
        <w:ind w:firstLine="1952"/>
        <w:spacing w:after="0" w:line="256" w:lineRule="auto"/>
        <w:tabs>
          <w:tab w:leader="none" w:pos="222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ten (10) consecutive days or for more than an aggregate of fifteen (15) days in any 365-day period (excluding days during an Allowed Delay (as defined in the Registration Rights Agreement));</w:t>
      </w:r>
    </w:p>
    <w:p>
      <w:pPr>
        <w:spacing w:after="0" w:line="187" w:lineRule="exact"/>
        <w:rPr>
          <w:rFonts w:ascii="Times New Roman" w:cs="Times New Roman" w:eastAsia="Times New Roman" w:hAnsi="Times New Roman"/>
          <w:sz w:val="18"/>
          <w:szCs w:val="18"/>
          <w:color w:val="auto"/>
        </w:rPr>
      </w:pPr>
    </w:p>
    <w:p>
      <w:pPr>
        <w:ind w:firstLine="1952"/>
        <w:spacing w:after="0" w:line="282" w:lineRule="auto"/>
        <w:tabs>
          <w:tab w:leader="none" w:pos="22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from trading or the failure of the Common Stock to be trading or listed (as applicable) on an Eligible Market for a period of five (5) consecutive Trading Days;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 other than pursuant to Section 3(d);</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Company is in compliance with Section 12(b) below, at any time following the tenth (10th) consecutive day that the Holder’s Authorized Share Allocation (as defined in Section 12(a) below) is less than the number of shares of Common Stock that the Holder would be entitled to receive upon a conversion of the full Conversion Amount of this Note (without regard to any limitations on conversion set forth in Section 3(d) or otherwise);</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or any Subsidiary’s failure to pay to the Holder any amount of Principal, Interest, Late Charges or other amounts when and as due under this Note (including, without limitation, the Company’s or any Subsidiary’s failure to pay any redemption payments or amounts hereunder) or any other Transaction Document (as defined in the Securities Purchase Agreement) or any other agreement, document, certificate or other instrument delivered in connection with the transactions contemplated hereby and thereby, except, in the case of a failure to pay Interest and Late Charges when and as due, in which case only if such failure remains uncured for a period of at least five (5) Trading Days;</w:t>
      </w:r>
    </w:p>
    <w:p>
      <w:pPr>
        <w:spacing w:after="0" w:line="18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remove any restrictive legend on any certificate or any shares of Common Stock issued to the Holder upon conversion or exercise (as the case may be) of any Securities (as defined in the Securities Purchase Agreement) acquired by the Holder under the Securities Purchase Agreement (including this Note) as and when required by such Securities or the Securities Purchase Agreement, unless otherwise then prohibited by applicable federal securities laws, and any such failure remains uncured for at least five (5) days;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ind w:firstLine="1952"/>
        <w:spacing w:after="0" w:line="282" w:lineRule="auto"/>
        <w:tabs>
          <w:tab w:leader="none" w:pos="23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default under, redemption of or acceleration prior to maturity of at least an aggregate of $500,000 of Indebtedness (as defined in the Securities Purchase Agreement) of the Company or any of its Subsidiaries, other than with respect to any Other Notes;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7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reorganization, or liquidation proceedings or other proceedings for the relief of debtors shall be instituted by or against the Company or any Subsidiary and, if instituted against the Company or any Subsidiary by a third party, shall not be dismissed within thirty (30) days of their initiation;</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or any Subsidiary of a voluntary case or proceeding under any applicable federal, state, or foreign bankruptcy, insolvency, reorganization, or other similar law or of any other case or proceeding to be adjudicated as bankrupt or insolvent, or the consent by it to the entry of a decree, order, judgment, or other similar document in respect of the Company or any Subsidiary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or any Subsidiary or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or any Subsidiary in furtherance of any such action or the taking of any action by any Person to commence a Uniform Commercial Code foreclosure sale or any other similar action under federal, state or foreign law;</w:t>
      </w:r>
    </w:p>
    <w:p>
      <w:pPr>
        <w:spacing w:after="0" w:line="191" w:lineRule="exact"/>
        <w:rPr>
          <w:rFonts w:ascii="Times New Roman" w:cs="Times New Roman" w:eastAsia="Times New Roman" w:hAnsi="Times New Roman"/>
          <w:sz w:val="18"/>
          <w:szCs w:val="18"/>
          <w:color w:val="auto"/>
        </w:rPr>
      </w:pPr>
    </w:p>
    <w:p>
      <w:pPr>
        <w:jc w:val="both"/>
        <w:ind w:firstLine="1952"/>
        <w:spacing w:after="0" w:line="276" w:lineRule="auto"/>
        <w:tabs>
          <w:tab w:leader="none" w:pos="2255"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entry by a court of (i) a decree, order, judgment or other similar document in respect of the Company or any Subsidiary of a voluntary or involuntary case or proceeding under any applicable federal, state or foreign bankruptcy, insolvency, reorganization or other similar law or</w:t>
      </w:r>
    </w:p>
    <w:p>
      <w:pPr>
        <w:jc w:val="both"/>
        <w:ind w:firstLine="8"/>
        <w:spacing w:after="0" w:line="252" w:lineRule="auto"/>
        <w:tabs>
          <w:tab w:leader="none" w:pos="26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decree, order, judgment or other similar document adjudging the Company or any Subsidiary as bankrupt or insolvent, or approving as properly filed a petition seeking liquidation, reorganization, arrangement, adjustment or composition of or in respect of the Company or any Subsidiary under any applicable federal, state or foreign law or (iii) a decree, order, judgment, or other similar document appointing a custodian, receiver, liquidator, assignee, trustee, sequestrator, or other similar official of the Company or any Subsidiary or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ind w:firstLine="1952"/>
        <w:spacing w:after="0" w:line="255" w:lineRule="auto"/>
        <w:tabs>
          <w:tab w:leader="none" w:pos="232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judgment or judgments for the payment of money aggregating in excess of $750,000 are rendered against the Company and/or any of its Subsidiaries and which judgments are not, within thirty (30) days after the entry thereof, bonded, discharged, settled or stayed pending appeal, or are not discharged within thirty (30) days after the expiration of such stay; provided, however, any judgment which is covered by insurance or an indemnity from a credit worthy party shall not be included in calculating the $750,000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spacing w:after="0" w:line="188"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7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Subsidiary, individually or in the aggregate, either (i) fails to pay, when due, or within any applicable grace period, any payment with respect to any Indebtedness in excess of $500,000 due to any third party (other than, with respect to unsecured Indebtedness only, payments contested by the Company and/or such Subsidiary (as the case may be) in good faith by proper proceedings and with respect to which adequate reserves have been set aside for the payment thereof in accordance with GAAP) or is otherwise in breach or violation of any agreement for monies owed or owing in an amount in excess of $1,000,000, which failure to pay, breach, or violation permits the other party thereto to declare a default or otherwise accelerate amounts due thereunder, or (ii) suffer to exist any other circumstance or event that would, with or without the passage of time or the giving of notice, result in a default or event of default under any agreement binding the Company or any Subsidiary, which default or event of default would have a material adverse effect on the business, assets, operations (including results thereof), liabilities, properties, condition (including financial condition) or prospects of the Company or any of its Subsidiaries, individually or in the aggregate;</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representation, warranty, covenant, or other term or condition that is curable, only if such breach remains uncured for a period of thirty (30) calendar days;</w:t>
      </w:r>
    </w:p>
    <w:p>
      <w:pPr>
        <w:spacing w:after="0" w:line="179"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materially false or inaccurate certification by the Company as to whether any Event of Default has occurred;</w:t>
      </w:r>
    </w:p>
    <w:p>
      <w:pPr>
        <w:spacing w:after="0" w:line="22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or failure in any respect by the Company or any Subsidiary to comply with any provision of Section 15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Note;</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42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Adverse Effect (as defined in the Securities Purchase Agreement) occurs; provided, that such Material Adverse Effect remains uncured or unremedied for thirty (30) calendar days after the Company receives written notice thereof from the Holder</w:t>
      </w:r>
    </w:p>
    <w:p>
      <w:pPr>
        <w:spacing w:after="0" w:line="161" w:lineRule="exact"/>
        <w:rPr>
          <w:rFonts w:ascii="Times New Roman" w:cs="Times New Roman" w:eastAsia="Times New Roman" w:hAnsi="Times New Roman"/>
          <w:sz w:val="18"/>
          <w:szCs w:val="18"/>
          <w:color w:val="auto"/>
        </w:rPr>
      </w:pPr>
    </w:p>
    <w:p>
      <w:pPr>
        <w:jc w:val="both"/>
        <w:ind w:firstLine="1952"/>
        <w:spacing w:after="0" w:line="258" w:lineRule="auto"/>
        <w:tabs>
          <w:tab w:leader="none" w:pos="24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any Transaction Document (including, without limitation, the Guaranties)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(including, without limitation, the Guaranties);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firstLine="1952"/>
        <w:spacing w:after="0" w:line="261" w:lineRule="auto"/>
        <w:tabs>
          <w:tab w:leader="none" w:pos="2342"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damage to, or loss, theft or destruction of, any material assets of the Company, whether or not insured, or any strike, lockout, labor dispute, embargo, condemnation, act of God or public enemy, or other casualty which causes, for more than fifteen (15) consecutive days, the cessation or substantial curtailment of revenue producing activities at any facility of the Company or any Subsidiary, if any such event or circumstance could have a Material Adverse Effect;</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29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Current Public Information Failure (as defined in the Registration Rights Agreement) occurs (other than during any Allowable Grace Period (as defined in the Registration Rights Agreement));</w:t>
      </w:r>
    </w:p>
    <w:p>
      <w:pPr>
        <w:spacing w:after="0" w:line="161"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delisting of the Common Stock from the Principal Market by the Company (other than for purposes of listing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another Eligible Market);</w:t>
      </w:r>
    </w:p>
    <w:p>
      <w:pPr>
        <w:spacing w:after="0" w:line="206"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Price Closing Failure occurs; or</w:t>
      </w:r>
    </w:p>
    <w:p>
      <w:pPr>
        <w:spacing w:after="0" w:line="225" w:lineRule="exact"/>
        <w:rPr>
          <w:rFonts w:ascii="Times New Roman" w:cs="Times New Roman" w:eastAsia="Times New Roman" w:hAnsi="Times New Roman"/>
          <w:sz w:val="18"/>
          <w:szCs w:val="18"/>
          <w:color w:val="auto"/>
        </w:rPr>
      </w:pPr>
    </w:p>
    <w:p>
      <w:pPr>
        <w:ind w:left="2440" w:hanging="488"/>
        <w:spacing w:after="0"/>
        <w:tabs>
          <w:tab w:leader="none" w:pos="24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Notes) occurs with respect to any Other Notes.</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an Event of Default; Redemption Right</w:t>
      </w:r>
      <w:r>
        <w:rPr>
          <w:rFonts w:ascii="Times New Roman" w:cs="Times New Roman" w:eastAsia="Times New Roman" w:hAnsi="Times New Roman"/>
          <w:sz w:val="18"/>
          <w:szCs w:val="18"/>
          <w:color w:val="auto"/>
        </w:rPr>
        <w:t>. Upon the occurrence of an Event of Default with respect to this Note or any Other Note (the “</w:t>
      </w:r>
      <w:r>
        <w:rPr>
          <w:rFonts w:ascii="Times New Roman" w:cs="Times New Roman" w:eastAsia="Times New Roman" w:hAnsi="Times New Roman"/>
          <w:sz w:val="18"/>
          <w:szCs w:val="18"/>
          <w:u w:val="single" w:color="auto"/>
          <w:color w:val="auto"/>
        </w:rPr>
        <w:t>Event of Default Date</w:t>
      </w:r>
      <w:r>
        <w:rPr>
          <w:rFonts w:ascii="Times New Roman" w:cs="Times New Roman" w:eastAsia="Times New Roman" w:hAnsi="Times New Roman"/>
          <w:sz w:val="18"/>
          <w:szCs w:val="18"/>
          <w:color w:val="auto"/>
        </w:rPr>
        <w:t>”), the Company shall within one (1) Business Day of its discovery of such Event of Default deliver written notice thereof via electronic mail and overnight courier (with next day delivery specified) (an “</w:t>
      </w:r>
      <w:r>
        <w:rPr>
          <w:rFonts w:ascii="Times New Roman" w:cs="Times New Roman" w:eastAsia="Times New Roman" w:hAnsi="Times New Roman"/>
          <w:sz w:val="18"/>
          <w:szCs w:val="18"/>
          <w:u w:val="single" w:color="auto"/>
          <w:color w:val="auto"/>
        </w:rPr>
        <w:t>Event of Default Notice</w:t>
      </w:r>
      <w:r>
        <w:rPr>
          <w:rFonts w:ascii="Times New Roman" w:cs="Times New Roman" w:eastAsia="Times New Roman" w:hAnsi="Times New Roman"/>
          <w:sz w:val="18"/>
          <w:szCs w:val="18"/>
          <w:color w:val="auto"/>
        </w:rPr>
        <w:t>”) to the Holder. At any time after the earlier of the Holder’s receipt of an Event of Default Notice and the Holder becoming aware of an Event of Default, the Holder may require the Company to redeem (regardless of whether such Event of Default has been cured) all or any portion of this Note by delivering written notice thereof (the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product of (A) the Conversion Amount to be redeemed multiplied by (B) the Redemption Premium and (ii) the product of (X) the Conversion Rate (using the Alternate Conversion Price then in effect) with respect to the Conversion Amount in effect at such time as the Holder delivers an Event of Default Redemption Notice multiplied by (Y) the product of (1) the Redemption Premium multiplied by (2) the Closing Sale Price of the Common Stock on the date the Holder delivers an Event of Default Redemption Notice (the “</w:t>
      </w:r>
      <w:r>
        <w:rPr>
          <w:rFonts w:ascii="Times New Roman" w:cs="Times New Roman" w:eastAsia="Times New Roman" w:hAnsi="Times New Roman"/>
          <w:sz w:val="18"/>
          <w:szCs w:val="18"/>
          <w:u w:val="single" w:color="auto"/>
          <w:color w:val="auto"/>
        </w:rPr>
        <w:t>Event of Default Redemption Price</w:t>
      </w:r>
      <w:r>
        <w:rPr>
          <w:rFonts w:ascii="Times New Roman" w:cs="Times New Roman" w:eastAsia="Times New Roman" w:hAnsi="Times New Roman"/>
          <w:sz w:val="18"/>
          <w:szCs w:val="18"/>
          <w:color w:val="auto"/>
        </w:rPr>
        <w:t>”). Redemptions required by this Section 4(b) shall be made in accordance with the provisions of Section 13.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but subject to Section 3(d),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firstLine="1304"/>
        <w:spacing w:after="0" w:line="254" w:lineRule="auto"/>
        <w:tabs>
          <w:tab w:leader="none" w:pos="15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Redemption upon Bankruptcy Event of Default</w:t>
      </w:r>
      <w:r>
        <w:rPr>
          <w:rFonts w:ascii="Times New Roman" w:cs="Times New Roman" w:eastAsia="Times New Roman" w:hAnsi="Times New Roman"/>
          <w:sz w:val="18"/>
          <w:szCs w:val="18"/>
          <w:color w:val="auto"/>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(i) all outstanding Principal, accrued and unpaid Interest and accrued and unpaid Late Charges on such Principal and Interest, multiplied by (ii) the Redemption Premium, in addition to any and all other amounts due hereunder, without the requirement for any notice or demand or other action by the Holder or any other person or entity,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 or any other Redemption Price, as applicable.</w:t>
      </w:r>
    </w:p>
    <w:p>
      <w:pPr>
        <w:spacing w:after="0" w:line="1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FUNDAMENTAL TRANSACTION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Assumption</w:t>
      </w:r>
      <w:r>
        <w:rPr>
          <w:rFonts w:ascii="Times New Roman" w:cs="Times New Roman" w:eastAsia="Times New Roman" w:hAnsi="Times New Roman"/>
          <w:sz w:val="18"/>
          <w:szCs w:val="18"/>
          <w:color w:val="auto"/>
        </w:rPr>
        <w:t>. The Company shall not enter into or be party to a Fundamental Transaction unless (i) the Successor Entity assumes in writing all of the obligations of the Company under this Note and the other Transaction Documents in accordance with the provisions of this Section 5(a) pursuant to written agreements in form and substance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and having similar ranking and security to the Notes, and satisfactory to the Holder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Fundamental Transaction, the Successor Entity shall deliver to the Holder confirmation that there shall be issued upon conversion or redemption of this Note at any time after the consummation of such Fundamental Transaction, in lieu of the shares of Common Stock (or other securities, cash, assets or other property (except such items still issuable under Sections 6 and 17, which shall continue to be receivable thereafter)) issuable upon the conversion or redemption of the Notes prior to such Fundamental Transaction, such shares of the publicly traded common stock (or their equivalent) of the Successor Entity (including its Parent Entity) which the Holder would have been entitled to receive upon the happening of such Fundamental Transaction had this Note been converted immediately prior to such Fundamental Transaction (without regard to any limitations on the conversion of this Note), as adjusted in accordance with the provisions of this Note. Notwithstanding the foregoing, the Holder may elect, at its sole option, by delivery of written notice to the Company to waive this Section 5(a) to permit the Fundamental Transaction without the assumption of this Note. The provisions of this Section 5 shall apply similarly and equally to successive Fundamental Transactions and shall be applied without regard to any limitations on the conversion of this Note.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1304"/>
        <w:spacing w:after="0" w:line="252" w:lineRule="auto"/>
        <w:tabs>
          <w:tab w:leader="none" w:pos="156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 Change of Control; Redemption Right</w:t>
      </w:r>
      <w:r>
        <w:rPr>
          <w:rFonts w:ascii="Times New Roman" w:cs="Times New Roman" w:eastAsia="Times New Roman" w:hAnsi="Times New Roman"/>
          <w:sz w:val="18"/>
          <w:szCs w:val="18"/>
          <w:color w:val="auto"/>
        </w:rPr>
        <w:t>. No sooner than twenty (20) Trading Days nor later than ten (10) Trading Days prior to the consummation of a Change of Control (the “</w:t>
      </w:r>
      <w:r>
        <w:rPr>
          <w:rFonts w:ascii="Times New Roman" w:cs="Times New Roman" w:eastAsia="Times New Roman" w:hAnsi="Times New Roman"/>
          <w:sz w:val="18"/>
          <w:szCs w:val="18"/>
          <w:u w:val="single" w:color="auto"/>
          <w:color w:val="auto"/>
        </w:rPr>
        <w:t>Change of Control Date</w:t>
      </w:r>
      <w:r>
        <w:rPr>
          <w:rFonts w:ascii="Times New Roman" w:cs="Times New Roman" w:eastAsia="Times New Roman" w:hAnsi="Times New Roman"/>
          <w:sz w:val="18"/>
          <w:szCs w:val="18"/>
          <w:color w:val="auto"/>
        </w:rPr>
        <w:t>”), but not prior to the public announcement of such Change of Control, the Company shall deliver written notice thereof via electronic mail and overnight courier to the Holder (a “</w:t>
      </w:r>
      <w:r>
        <w:rPr>
          <w:rFonts w:ascii="Times New Roman" w:cs="Times New Roman" w:eastAsia="Times New Roman" w:hAnsi="Times New Roman"/>
          <w:sz w:val="18"/>
          <w:szCs w:val="18"/>
          <w:u w:val="single" w:color="auto"/>
          <w:color w:val="auto"/>
        </w:rPr>
        <w:t>Change of Control Notice</w:t>
      </w:r>
      <w:r>
        <w:rPr>
          <w:rFonts w:ascii="Times New Roman" w:cs="Times New Roman" w:eastAsia="Times New Roman" w:hAnsi="Times New Roman"/>
          <w:sz w:val="18"/>
          <w:szCs w:val="18"/>
          <w:color w:val="auto"/>
        </w:rPr>
        <w:t>”). At any time during the period beginning after the Holder’s receipt of a Change of Control Notice or the Holder becoming aware of a Change of Control if a Change of Control Notice is not delivered to the Holder in accordance with the immediately preceding sentence (as applicable) and ending on twenty (20) Trading Days after the later of (A) the date of consummation of such Change of Control or (B) the date of receipt of such Change of Control Notice or (C) the date of the announcement of such Change of Control, the Holder may require the Company to redeem all or any portion of this Note by delivering written notice thereof (“</w:t>
      </w:r>
      <w:r>
        <w:rPr>
          <w:rFonts w:ascii="Times New Roman" w:cs="Times New Roman" w:eastAsia="Times New Roman" w:hAnsi="Times New Roman"/>
          <w:sz w:val="18"/>
          <w:szCs w:val="18"/>
          <w:u w:val="single" w:color="auto"/>
          <w:color w:val="auto"/>
        </w:rPr>
        <w:t>Change of Control Redemption Notice</w:t>
      </w:r>
      <w:r>
        <w:rPr>
          <w:rFonts w:ascii="Times New Roman" w:cs="Times New Roman" w:eastAsia="Times New Roman" w:hAnsi="Times New Roman"/>
          <w:sz w:val="18"/>
          <w:szCs w:val="18"/>
          <w:color w:val="auto"/>
        </w:rPr>
        <w:t>”) to the Company, which Change of Control Redemption Notice shall indicate the Conversion Amount the Holder is electing to redeem. The portion of this Note subject to redemption pursuant to this Section 5 shall be redeemed by the Company in cash at a price equal to the greatest of (i) the product of (w) the Change of Control Redemption Premium multiplied by (y) the Conversion Amount being redeemed, (ii) the product of (x) the Change of Control Redemption Premium multiplied by (y) the product of (A) the Conversion Amount being redeemed multiplied by</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31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quotient determined by dividing (I) the greatest Closing Sale Price of the shares of Common Stock during the period beginning on the date immediately preceding the earlier to occur of (1) the consummation of the applicable Change of Control and (2) the public announcement of such Change of Control and ending on the date the Holder delivers the Change of Control Redemption Notice by (II) the Alternate Conversion Price then in effect and (iii) the product of (y) the Change of Control Redemption Premium multiplied by (z) the product of (A) the Conversion Amount being redeemed multiplied by (B) the quotient of (I) the aggregate cash consideration and the aggregate cash value of any non-cash consideration per share of Common Stock to be paid to the holders of the shares of Common Stock upon consummation of such Change of Control (any such non-cash consideration constituting publicly-traded securities shall be valued at the highest of the Closing Sale Price of such securities as of the Trading Day immediately prior to the consummation of such Change of Control, the Closing Sale Price of such securities on the Trading Day immediately following the public announcement of such proposed Change of Control and the Closing Sale Price of such securities on the Trading Day immediately prior to the public announcement of such proposed Change of Control) divided by (II) the Conversion Price then in effect (the “</w:t>
      </w:r>
      <w:r>
        <w:rPr>
          <w:rFonts w:ascii="Times New Roman" w:cs="Times New Roman" w:eastAsia="Times New Roman" w:hAnsi="Times New Roman"/>
          <w:sz w:val="18"/>
          <w:szCs w:val="18"/>
          <w:u w:val="single" w:color="auto"/>
          <w:color w:val="auto"/>
        </w:rPr>
        <w:t>Change of Control Redemption Price</w:t>
      </w:r>
      <w:r>
        <w:rPr>
          <w:rFonts w:ascii="Times New Roman" w:cs="Times New Roman" w:eastAsia="Times New Roman" w:hAnsi="Times New Roman"/>
          <w:sz w:val="18"/>
          <w:szCs w:val="18"/>
          <w:color w:val="auto"/>
        </w:rPr>
        <w:t>”). Redemptions required by this Section 5 shall be made in accordance with the provisions of Section 13 and shall have priority to payments to shareholders in connection with such Change of Control. To the extent redemptions required by this Section 5(b) are deemed or determined by a court of competent jurisdiction to be prepayments of this Note by the Company, such redemptions shall be deemed to be voluntary prepayments. Notwithstanding anything to the contrary in this Section 5, but subject to Section 3(d), until the Change of Control Redemption Price (together with any Late Charges thereon) is paid in full, the Conversion Amount submitted for redemption under this Section 5(b) (together with any Late Charges thereon) may be converted, in whole or in part, by the Holder into Common Stock pursuant to Section 3. In the event of the Company’s redemption of any portion of this Note under this Section 5(b),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5(b) is intended by the parties to be, and shall be deemed, a reasonable estimate of the Holder’s actual loss of its investment opportunity and not as a penalty.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ind w:left="840" w:hanging="184"/>
        <w:spacing w:after="0"/>
        <w:tabs>
          <w:tab w:leader="none" w:pos="8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UPON ISSUANCE OF PURCHASE RIGHTS AND OTHER CORPORATE EVENTS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In addition to any adjustments pursuant to Sections 7 or 17 below, if at any time the Company grants, issues or sells any Options, Convertible Securities or rights to purchase stock, warrants, securities or other property pro rata to all or substantially all of the record holders of any class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and the other Attribution Parties exceeding the Maximum Percentage, then the Holder shall not be entitled to participate in such Purchase Right to the extent of the Maximum Percentage (and shall not be entitled to beneficial ownership of such shares of Common Stock as a result of such Purchase Right (and beneficial ownership) to the extent of any such excess) and such Purchase Right to such extent shall be held in abeyance (and, if such Purchase Right has an expiration date, maturity date or other similar provision, such term shall be extended by such number of days held in abeyance, if applicable) for the benefit of the Holder until such time or times, if ever,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held similarly in abeyance (and, if such Purchase Right has an expiration date, maturity date or other similar provision, such term shall be extended by such number of days held in abeyance, if applicable)) to the same extent as if there had been no such limitation).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firstLine="1304"/>
        <w:spacing w:after="0" w:line="253" w:lineRule="auto"/>
        <w:tabs>
          <w:tab w:leader="none" w:pos="157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shares of Common Stock are entitled to receive securities or other assets with respect to or in exchange for shares of Common Stock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6 shall apply similarly and equally to successive Corporate Events and shall be applied without regard to any limitations on the conversion or redemption of this Note.</w:t>
      </w:r>
    </w:p>
    <w:p>
      <w:pPr>
        <w:spacing w:after="0" w:line="18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Conversion Price upon Subdivision or Combination of Common Stock</w:t>
      </w:r>
      <w:r>
        <w:rPr>
          <w:rFonts w:ascii="Times New Roman" w:cs="Times New Roman" w:eastAsia="Times New Roman" w:hAnsi="Times New Roman"/>
          <w:sz w:val="18"/>
          <w:szCs w:val="18"/>
          <w:color w:val="auto"/>
        </w:rPr>
        <w:t>. Without limiting any provision of Section 6, Section 17 or Section 7(a), if the Company at any time on or after the Subscription Date subdivides (by any stock split, stock dividend, stock combination, recapitalization or other similar transaction) one or more classes of its outstanding shares of Common Stock into a greater number of shares, the Conversion Price in effect immediately prior to such subdivision will be proportionately reduced. Without limiting any provision of Section 6, Section 17 or Section 7(a), if the Company at any time on or after the Subscription Date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8(a) shall become effective immediately after the effective date of such subdivision or combination. If any event requiring an adjustment under this Section 8(a) occurs during the period that a Conversion Price is calculated hereunder, then the calculation of such Conversion Price shall be adjusted appropriately to reflect such event.</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If the Company (or any Subsidiary) shall take any action to which the provisions hereof are not strictly applicable, or, if applicable, would not operate to protect the Holder from dilution or if any event occurs of the type contemplated by the provisions of this Section 8 but not expressly provided for by such provisions (including, without limitation, the granting of stock appreciation rights, phantom stock rights, or other rights with equity features), then the Company’s board of directors shall in good faith determine and implement an appropriate adjustment in the Conversion Price so as to protect the rights of the Holder, provided that no such adjustment pursuant to this Section 8(b) will increase the Conversion Price as otherwise determined pursuant to this Section 8, provided further that if the Holder does not accept such adjustments as appropriately protecting its interests hereunder against such dilution, then the Company’s board of directors and the Holder shall agree, in good faith, upon an independent investment bank of nationally recognized standing to make such appropriate adjustments, whose determination shall be final and binding absent manifest error and whose fees and expenses shall be borne by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8" w:name="page79"/>
    <w:bookmarkEnd w:id="78"/>
    <w:p>
      <w:pPr>
        <w:jc w:val="both"/>
        <w:ind w:firstLine="1304"/>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7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Principal Market, the Company may at any time during the term of this Note, with the prior written consent of the Required Holders (as defined in the Securities Purchase Agreement), reduce the then current Conversion Price of each of the Notes to any amount and for any period of time deemed appropriate by the board of directors of the Company.</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 AT THE COMPANY’S ELECTION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At any time, the Company shall have the right to redeem all, or any part, of the Conversion Amount then remaining under this Note (each, a “</w:t>
      </w:r>
      <w:r>
        <w:rPr>
          <w:rFonts w:ascii="Times New Roman" w:cs="Times New Roman" w:eastAsia="Times New Roman" w:hAnsi="Times New Roman"/>
          <w:sz w:val="18"/>
          <w:szCs w:val="18"/>
          <w:u w:val="single" w:color="auto"/>
          <w:color w:val="auto"/>
        </w:rPr>
        <w:t>Company Optional Redemption Amount</w:t>
      </w:r>
      <w:r>
        <w:rPr>
          <w:rFonts w:ascii="Times New Roman" w:cs="Times New Roman" w:eastAsia="Times New Roman" w:hAnsi="Times New Roman"/>
          <w:sz w:val="18"/>
          <w:szCs w:val="18"/>
          <w:color w:val="auto"/>
        </w:rPr>
        <w:t>”) on the Company Optional Redemption Date (each as defined below) (each, a “</w:t>
      </w:r>
      <w:r>
        <w:rPr>
          <w:rFonts w:ascii="Times New Roman" w:cs="Times New Roman" w:eastAsia="Times New Roman" w:hAnsi="Times New Roman"/>
          <w:sz w:val="18"/>
          <w:szCs w:val="18"/>
          <w:u w:val="single" w:color="auto"/>
          <w:color w:val="auto"/>
        </w:rPr>
        <w:t>Company Optional Redemption</w:t>
      </w:r>
      <w:r>
        <w:rPr>
          <w:rFonts w:ascii="Times New Roman" w:cs="Times New Roman" w:eastAsia="Times New Roman" w:hAnsi="Times New Roman"/>
          <w:sz w:val="18"/>
          <w:szCs w:val="18"/>
          <w:color w:val="auto"/>
        </w:rPr>
        <w:t>”). The portion of this Note subject to redemption pursuant to this Section 8(a) shall be redeemed by the Company in cash at a price (each, a “</w:t>
      </w:r>
      <w:r>
        <w:rPr>
          <w:rFonts w:ascii="Times New Roman" w:cs="Times New Roman" w:eastAsia="Times New Roman" w:hAnsi="Times New Roman"/>
          <w:sz w:val="18"/>
          <w:szCs w:val="18"/>
          <w:u w:val="single" w:color="auto"/>
          <w:color w:val="auto"/>
        </w:rPr>
        <w:t>Company Optional Redemption Price</w:t>
      </w:r>
      <w:r>
        <w:rPr>
          <w:rFonts w:ascii="Times New Roman" w:cs="Times New Roman" w:eastAsia="Times New Roman" w:hAnsi="Times New Roman"/>
          <w:sz w:val="18"/>
          <w:szCs w:val="18"/>
          <w:color w:val="auto"/>
        </w:rPr>
        <w:t>”) equal to 110% of the Conversion Amount being redeemed as of the Company Optional Redemption Date. The Company may exercise its right to require redemption under this Section 8(a) by delivering a written notice thereof by electronic mail and overnight courier to all, but not less than all, of the holders of Notes (the “</w:t>
      </w:r>
      <w:r>
        <w:rPr>
          <w:rFonts w:ascii="Times New Roman" w:cs="Times New Roman" w:eastAsia="Times New Roman" w:hAnsi="Times New Roman"/>
          <w:sz w:val="18"/>
          <w:szCs w:val="18"/>
          <w:u w:val="single" w:color="auto"/>
          <w:color w:val="auto"/>
        </w:rPr>
        <w:t>Company Optional Redemption Notice</w:t>
      </w:r>
      <w:r>
        <w:rPr>
          <w:rFonts w:ascii="Times New Roman" w:cs="Times New Roman" w:eastAsia="Times New Roman" w:hAnsi="Times New Roman"/>
          <w:sz w:val="18"/>
          <w:szCs w:val="18"/>
          <w:color w:val="auto"/>
        </w:rPr>
        <w:t>” and the date all of the holders of Notes received such notice is referred to as the “</w:t>
      </w:r>
      <w:r>
        <w:rPr>
          <w:rFonts w:ascii="Times New Roman" w:cs="Times New Roman" w:eastAsia="Times New Roman" w:hAnsi="Times New Roman"/>
          <w:sz w:val="18"/>
          <w:szCs w:val="18"/>
          <w:u w:val="single" w:color="auto"/>
          <w:color w:val="auto"/>
        </w:rPr>
        <w:t>Company Optional Redemption Notice Date</w:t>
      </w:r>
      <w:r>
        <w:rPr>
          <w:rFonts w:ascii="Times New Roman" w:cs="Times New Roman" w:eastAsia="Times New Roman" w:hAnsi="Times New Roman"/>
          <w:sz w:val="18"/>
          <w:szCs w:val="18"/>
          <w:color w:val="auto"/>
        </w:rPr>
        <w:t>”). The Company may deliver only one Company Optional Redemption Notice hereunder in any given twenty (20) Trading Day period and each Company Optional Redemption Notice shall be irrevocable. The Company Optional Redemption Notice shall (x) state the date on which the Company Optional Redemption shall occur (the “</w:t>
      </w:r>
      <w:r>
        <w:rPr>
          <w:rFonts w:ascii="Times New Roman" w:cs="Times New Roman" w:eastAsia="Times New Roman" w:hAnsi="Times New Roman"/>
          <w:sz w:val="18"/>
          <w:szCs w:val="18"/>
          <w:u w:val="single" w:color="auto"/>
          <w:color w:val="auto"/>
        </w:rPr>
        <w:t>Company 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which date shall not be less than fifteen (15) Trading Days, and (y) state the aggregate Conversion Amount of the Notes which is being redeemed in such Company Optional Redemption from the Holder and all of the other holders of the Notes pursuant to this Section 8(a) (and analogous provisions under the Other Notes) on the Company Optional Redemption Date. All Conversion Amounts converted by the Holder after the Company Optional Redemption Notice Date shall reduce the Company Optional Redemption Amount of this Note required to be redeemed on the Company Optional Redemption Date. Redemptions made pursuant to this Section 8(a) shall be made in accordance with Section 13. In the event of the Company’s redemption of any portion of this Note under this Section 8(a),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8(a) is intended by the parties to be, and shall be deemed, a reasonable estimate of the Holder’s actual loss of its investment opportunity and not as a penalty. For the avoidance of doubt, the Company shall have no right to effect a Company Optional Redemption if any Event of Default has occurred and continuing, but any Event of Default shall have no effect upon the Holder’s right to convert this Note in its discretion. If the Company delivers to the Holder a Company Optional Redemption Notice, the Holder may convert, in whole or in part, the Conversion Amount equal to the Company Optional Redemption Amount or set forth in the Company Optional Redemption, at any time until such Company Optional Redemption Amount is fully paid, into Common Shares pursuant to the terms of this Note, but subject to Section 4(d).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ind w:firstLine="1304"/>
        <w:spacing w:after="0" w:line="282" w:lineRule="auto"/>
        <w:tabs>
          <w:tab w:leader="none" w:pos="155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Redemption Requirement</w:t>
      </w:r>
      <w:r>
        <w:rPr>
          <w:rFonts w:ascii="Times New Roman" w:cs="Times New Roman" w:eastAsia="Times New Roman" w:hAnsi="Times New Roman"/>
          <w:sz w:val="18"/>
          <w:szCs w:val="18"/>
          <w:color w:val="auto"/>
        </w:rPr>
        <w:t>. If the Company elects to cause a Company Optional Redemption of this Note pursuant to Section 9(a) above, then it must simultaneously take the same action with respect to all of the Other Notes.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PLACEMENT OPTIONAL REDEMPTION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At any time from and after the earlier of (x) the date the Holder becomes aware of the occurrence of a Subsequent Placement (as defined in the Securities Purchase Agreement) (the “</w:t>
      </w:r>
      <w:r>
        <w:rPr>
          <w:rFonts w:ascii="Times New Roman" w:cs="Times New Roman" w:eastAsia="Times New Roman" w:hAnsi="Times New Roman"/>
          <w:sz w:val="18"/>
          <w:szCs w:val="18"/>
          <w:u w:val="single" w:color="auto"/>
          <w:color w:val="auto"/>
        </w:rPr>
        <w:t>Holder Notice Date</w:t>
      </w:r>
      <w:r>
        <w:rPr>
          <w:rFonts w:ascii="Times New Roman" w:cs="Times New Roman" w:eastAsia="Times New Roman" w:hAnsi="Times New Roman"/>
          <w:sz w:val="18"/>
          <w:szCs w:val="18"/>
          <w:color w:val="auto"/>
        </w:rPr>
        <w:t>”) and (y) the time of consummation of a Subsequent Placement (in each case, other than with respect to Excluded Securities (as defined in the Securities Purchase Agreement)) (each, an “</w:t>
      </w:r>
      <w:r>
        <w:rPr>
          <w:rFonts w:ascii="Times New Roman" w:cs="Times New Roman" w:eastAsia="Times New Roman" w:hAnsi="Times New Roman"/>
          <w:sz w:val="18"/>
          <w:szCs w:val="18"/>
          <w:u w:val="single" w:color="auto"/>
          <w:color w:val="auto"/>
        </w:rPr>
        <w:t>Eligible Subsequent Placement</w:t>
      </w:r>
      <w:r>
        <w:rPr>
          <w:rFonts w:ascii="Times New Roman" w:cs="Times New Roman" w:eastAsia="Times New Roman" w:hAnsi="Times New Roman"/>
          <w:sz w:val="18"/>
          <w:szCs w:val="18"/>
          <w:color w:val="auto"/>
        </w:rPr>
        <w:t>”), the Holder shall have the right, in its sole discretion, to require that the Company redeem (each a “</w:t>
      </w:r>
      <w:r>
        <w:rPr>
          <w:rFonts w:ascii="Times New Roman" w:cs="Times New Roman" w:eastAsia="Times New Roman" w:hAnsi="Times New Roman"/>
          <w:sz w:val="18"/>
          <w:szCs w:val="18"/>
          <w:u w:val="single" w:color="auto"/>
          <w:color w:val="auto"/>
        </w:rPr>
        <w:t>Subsequent Placement Optional Redemption</w:t>
      </w:r>
      <w:r>
        <w:rPr>
          <w:rFonts w:ascii="Times New Roman" w:cs="Times New Roman" w:eastAsia="Times New Roman" w:hAnsi="Times New Roman"/>
          <w:sz w:val="18"/>
          <w:szCs w:val="18"/>
          <w:color w:val="auto"/>
        </w:rPr>
        <w:t>”) all, or any portion, of the Conversion Amount under this Note not in excess of (together with any Subsequent Placement Optional Redemption Amount (as defined in the applicable other Note of the Holder) of any other Notes of the Holder) the Holder’s Holder Pro Rata Amount of up to 50% of the net proceeds of such Eligible Subsequent Placement (the “</w:t>
      </w:r>
      <w:r>
        <w:rPr>
          <w:rFonts w:ascii="Times New Roman" w:cs="Times New Roman" w:eastAsia="Times New Roman" w:hAnsi="Times New Roman"/>
          <w:sz w:val="18"/>
          <w:szCs w:val="18"/>
          <w:u w:val="single" w:color="auto"/>
          <w:color w:val="auto"/>
        </w:rPr>
        <w:t>Eligible Subsequent Placement Optional Redemption Amount</w:t>
      </w:r>
      <w:r>
        <w:rPr>
          <w:rFonts w:ascii="Times New Roman" w:cs="Times New Roman" w:eastAsia="Times New Roman" w:hAnsi="Times New Roman"/>
          <w:sz w:val="18"/>
          <w:szCs w:val="18"/>
          <w:color w:val="auto"/>
        </w:rPr>
        <w:t>”) by delivering written notice thereof (a “</w:t>
      </w:r>
      <w:r>
        <w:rPr>
          <w:rFonts w:ascii="Times New Roman" w:cs="Times New Roman" w:eastAsia="Times New Roman" w:hAnsi="Times New Roman"/>
          <w:sz w:val="18"/>
          <w:szCs w:val="18"/>
          <w:u w:val="single" w:color="auto"/>
          <w:color w:val="auto"/>
        </w:rPr>
        <w:t>Subsequent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Placement Optional Redemption Notice</w:t>
      </w:r>
      <w:r>
        <w:rPr>
          <w:rFonts w:ascii="Times New Roman" w:cs="Times New Roman" w:eastAsia="Times New Roman" w:hAnsi="Times New Roman"/>
          <w:sz w:val="18"/>
          <w:szCs w:val="18"/>
          <w:color w:val="auto"/>
        </w:rPr>
        <w:t>”) to the Company. Notwithstanding the foregoing, upon the written request of the Holder, the Company shall permit the Holder to participate in such Subsequent Placement and the Company shall apply all, or any part, as set forth in such written request, of any amounts that would otherwise be payable to the Holder in such Subsequent Placement Optional Redemption, on a dollar-for-dollar basis, against the purchase price of the securities to be purchased by the Holder in such Eligible Subsequent Placement (which, for the avoidance of doubt, shall not be less than securities with a purchase price equal to the portion of the Subsequent Placement Optional Redemption Amount the Holder elects to apply against thereto).</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Each Subsequent Placement Optional Redemption Notice shall indicate that all, or such applicable portion, as set forth in the applicable Subsequent Placement Optional Redemption Notice, of the Eligible Subsequent Placement Optional Redemption Amount the Holder is electing to have redeemed (the “</w:t>
      </w:r>
      <w:r>
        <w:rPr>
          <w:rFonts w:ascii="Times New Roman" w:cs="Times New Roman" w:eastAsia="Times New Roman" w:hAnsi="Times New Roman"/>
          <w:sz w:val="18"/>
          <w:szCs w:val="18"/>
          <w:u w:val="single" w:color="auto"/>
          <w:color w:val="auto"/>
        </w:rPr>
        <w:t>Subsequent Placement Optional Redemption Amount</w:t>
      </w:r>
      <w:r>
        <w:rPr>
          <w:rFonts w:ascii="Times New Roman" w:cs="Times New Roman" w:eastAsia="Times New Roman" w:hAnsi="Times New Roman"/>
          <w:sz w:val="18"/>
          <w:szCs w:val="18"/>
          <w:color w:val="auto"/>
        </w:rPr>
        <w:t>”) and the date of such Subsequent Placement Optional Redemption (the “</w:t>
      </w:r>
      <w:r>
        <w:rPr>
          <w:rFonts w:ascii="Times New Roman" w:cs="Times New Roman" w:eastAsia="Times New Roman" w:hAnsi="Times New Roman"/>
          <w:sz w:val="18"/>
          <w:szCs w:val="18"/>
          <w:u w:val="single" w:color="auto"/>
          <w:color w:val="auto"/>
        </w:rPr>
        <w:t>Subsequent Placement Optional Redemption Date</w:t>
      </w:r>
      <w:r>
        <w:rPr>
          <w:rFonts w:ascii="Times New Roman" w:cs="Times New Roman" w:eastAsia="Times New Roman" w:hAnsi="Times New Roman"/>
          <w:sz w:val="18"/>
          <w:szCs w:val="18"/>
          <w:color w:val="auto"/>
        </w:rPr>
        <w:t>”), which shall be the later of (x) the fifth (5th) Business Day after the date of the applicable Subsequent Placement Optional Redemption Notice and (y) the date of the consummation of such Eligible Subsequent Placement. The portion of the Conversion Amount of this Note subject to redemption pursuant to this Section 9 shall be redeemed by the Company in cash at a price equal to 100% of the Subsequent Placement Optional Redemption Amount (the “</w:t>
      </w:r>
      <w:r>
        <w:rPr>
          <w:rFonts w:ascii="Times New Roman" w:cs="Times New Roman" w:eastAsia="Times New Roman" w:hAnsi="Times New Roman"/>
          <w:sz w:val="18"/>
          <w:szCs w:val="18"/>
          <w:u w:val="single" w:color="auto"/>
          <w:color w:val="auto"/>
        </w:rPr>
        <w:t>Subsequent Placement Optional Redemption Price</w:t>
      </w:r>
      <w:r>
        <w:rPr>
          <w:rFonts w:ascii="Times New Roman" w:cs="Times New Roman" w:eastAsia="Times New Roman" w:hAnsi="Times New Roman"/>
          <w:sz w:val="18"/>
          <w:szCs w:val="18"/>
          <w:color w:val="auto"/>
        </w:rPr>
        <w:t>”). Redemptions required by this Section 9 shall be made in accordance with the provisions of Section 13. For the avoidance of doubt, “net proceeds” means the gross proceeds of such Eligible Subsequent Placement less reasonable and documented fees, costs and expenses incurred by the Company in connection with such Eligible Subsequent Placement. If the Company delivers to the Holder a Subsequent Placement Optional Redemption Notice, the Holder may convert, in whole or in part, the Conversion Amount equal to the Eligible Subsequent Placement Optional Redemption Amount or set forth in the Subsequent Placement Optional Redemption, at any time until such Eligible Subsequent Placement Optional Redemption Amount is fully paid, into Common Shares pursuant to the terms of this Note, but subject to Section 4(d).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jc w:val="both"/>
        <w:ind w:firstLine="656"/>
        <w:spacing w:after="0" w:line="253" w:lineRule="auto"/>
        <w:tabs>
          <w:tab w:leader="none" w:pos="9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NONCIRCUMVENTION</w:t>
      </w:r>
      <w:r>
        <w:rPr>
          <w:rFonts w:ascii="Times New Roman" w:cs="Times New Roman" w:eastAsia="Times New Roman" w:hAnsi="Times New Roman"/>
          <w:sz w:val="18"/>
          <w:szCs w:val="18"/>
          <w:color w:val="auto"/>
        </w:rPr>
        <w:t>. The Company hereby covenants and agrees that the Company will not, by amendment of its Articles of Incorporation (as defined in the Securities Purchase Agreement), Bylaws (as defined in the Securities Purchase Agreement)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 Notwithstanding anything herein to the contrary, if after the ninety (90) calendar day anniversary of the Issuance Date, the Holder is not permitted to convert this Note in full for any reason (other than pursuant to restrictions set forth in Section 3(d) hereof), the Company shall use its best efforts to promptly remedy such failure, including, without limitation, obtaining such consents or approvals as necessary to permit such conversion into shares of Common Stock.</w:t>
      </w:r>
    </w:p>
    <w:p>
      <w:pPr>
        <w:spacing w:after="0" w:line="19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AUTHORIZED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w:t>
      </w:r>
      <w:r>
        <w:rPr>
          <w:rFonts w:ascii="Times New Roman" w:cs="Times New Roman" w:eastAsia="Times New Roman" w:hAnsi="Times New Roman"/>
          <w:sz w:val="18"/>
          <w:szCs w:val="18"/>
          <w:color w:val="auto"/>
        </w:rPr>
        <w:t>. So long as any Notes remain outstanding, the Company shall at all times reserve at least 200% of the number of shares of Common Stock as shall from time to time be necessary to effect the conversion of all of the Notes then outstanding (without regard to any limitations on conversions and assuming such Notes remain outstanding until the Maturity Date) at the Floor Price then in effect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The Required Reserve Amount (including, without limitation, each increase in the number of shares so reserved) shall be allocated pro rata among the holders of the Notes based on the original principal amount of the Notes held by each holder on the Closing Date or increase in the number of reserved shares, as the case may be (the “</w:t>
      </w:r>
      <w:r>
        <w:rPr>
          <w:rFonts w:ascii="Times New Roman" w:cs="Times New Roman" w:eastAsia="Times New Roman" w:hAnsi="Times New Roman"/>
          <w:sz w:val="18"/>
          <w:szCs w:val="18"/>
          <w:u w:val="single" w:color="auto"/>
          <w:color w:val="auto"/>
        </w:rPr>
        <w:t>Authorized Share Allocation</w:t>
      </w:r>
      <w:r>
        <w:rPr>
          <w:rFonts w:ascii="Times New Roman" w:cs="Times New Roman" w:eastAsia="Times New Roman" w:hAnsi="Times New Roman"/>
          <w:sz w:val="18"/>
          <w:szCs w:val="18"/>
          <w:color w:val="auto"/>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firstLine="1304"/>
        <w:spacing w:after="0" w:line="252" w:lineRule="auto"/>
        <w:tabs>
          <w:tab w:leader="none" w:pos="1564"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Authorized Shares</w:t>
      </w:r>
      <w:r>
        <w:rPr>
          <w:rFonts w:ascii="Times New Roman" w:cs="Times New Roman" w:eastAsia="Times New Roman" w:hAnsi="Times New Roman"/>
          <w:sz w:val="18"/>
          <w:szCs w:val="18"/>
          <w:color w:val="auto"/>
        </w:rPr>
        <w:t>. If, notwithstanding Section 12(a), and not in limitation thereof,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 w:cs="Times New Roman" w:eastAsia="Times New Roman" w:hAnsi="Times New Roman"/>
          <w:sz w:val="18"/>
          <w:szCs w:val="18"/>
          <w:u w:val="single" w:color="auto"/>
          <w:color w:val="auto"/>
        </w:rPr>
        <w:t>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 Failure</w:t>
      </w:r>
      <w:r>
        <w:rPr>
          <w:rFonts w:ascii="Times New Roman" w:cs="Times New Roman" w:eastAsia="Times New Roman" w:hAnsi="Times New Roman"/>
          <w:sz w:val="18"/>
          <w:szCs w:val="18"/>
          <w:color w:val="auto"/>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ninety (90) days after the occurrence of such Authorized Share Failure, the Company shall hold a meeting of its shareholders for the approval of an increase in the number of authorized shares of Common Stock. In connection with such meeting, the Company shall provide each shareholder with a proxy statement and shall use its best efforts to solicit its shareholders’ approval of such increase in authorized shares of Common Stock and to cause its board of directors to recommend to the shareholders that they approve such proposal. In the event that the Company is prohibited from issuing shares of Common Stock pursuant to the terms of this Note due to the failure by the Company to have sufficient shares of Common Stock available out of the authorized but unissued shares of Common Stock (such unavailable number of shares of Common Stock, the “</w:t>
      </w:r>
      <w:r>
        <w:rPr>
          <w:rFonts w:ascii="Times New Roman" w:cs="Times New Roman" w:eastAsia="Times New Roman" w:hAnsi="Times New Roman"/>
          <w:sz w:val="18"/>
          <w:szCs w:val="18"/>
          <w:b w:val="1"/>
          <w:bCs w:val="1"/>
          <w:color w:val="auto"/>
        </w:rPr>
        <w:t>Authorized Failure Shares</w:t>
      </w:r>
      <w:r>
        <w:rPr>
          <w:rFonts w:ascii="Times New Roman" w:cs="Times New Roman" w:eastAsia="Times New Roman" w:hAnsi="Times New Roman"/>
          <w:sz w:val="18"/>
          <w:szCs w:val="18"/>
          <w:color w:val="auto"/>
        </w:rPr>
        <w:t>”), in lieu of delivering such Authorized Failure Shares to the Holder, the Company shall pay cash in exchange for the redemption of such portion of the Conversion Amount convertible into such Authorized Failure Shares at a price equal to the sum of (i) the product of (x) such number of Authorized Failure Shares and (y) the greatest Closing Sale Price of the Common Stock on any Trading Day during the period commencing on the date the Holder delivers the applicable Conversion Notice with respect to such Authorized Failure Shares to the Company and ending on the date of such issuance and payment under this Section 12(a); and (ii) to the extent the Holder purchases (in an open market transaction or otherwise) shares of Common Stock to deliver in satisfaction of a sale by the Holder of Authorized Failure Shares, any brokerage commissions and other out-of-pocket expenses, if any, of the Holder incurred in connection therewith. Nothing contained in Section 12(a) or this Section 12(b) shall limit any obligations of the Company under any provision of the Securities Purchase Agreement.</w:t>
      </w:r>
    </w:p>
    <w:p>
      <w:pPr>
        <w:spacing w:after="0" w:line="19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7"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 The Company shall deliver the applicable Event of Default Redemption Price to the Holder in cash within five (5) Business Days after the Company’s receipt of the Holder’s Event of Default Redemption Notice. If the Holder has submitted a Change of Control Redemption Notice in accordance with Section 5(b), the Company shall deliver the applicable Change of Control Redemption Price to the Holder in cash concurrently with the consummation of such Change of Control if such notice is received prior to the consummation of such Change of Control and within five (5) Business Days after the Company’s receipt of such notice otherwise. The Company shall deliver the applicable Company Optional Redemption Price to the Holder in cash on the applicable Company Optional Redemption Date. The Company shall deliver the applicable Subsequent Placement Optional Redemption Price to the Holder in cash on the applicable Subsequent Placement Optional Redemption Date. Notwithstanding anything herein to the contrary, in connection with any redemption hereunder at a time the Holder is entitled to receive a cash payment under any of the other Transaction Documents, at the option of the Holder delivered in writing to the Company, the applicable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20(d))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(together with any Late Charges thereon) has not been paid. Upon the Company’s receipt of such notice, (x) the applicable Redemption Notice shall be null and void with respect to such Conversion Amount, (y) the Company shall immediately return this Note, or issue a new Note (in accordance with Section 20(d)), to the Holder, and in each case the principal amount of this Note or such new Note (as the case may be) shall be increased by an amount equal to the difference between (1) the applicable Redemption Price (as the case may be, and as adjusted pursuant to this Section 13, if applicable) minus the Principal portion of the Conversion Amount submitted for redemption and (z) the Conversion Price of this Note or such new Notes (as the case may be) shall be automatically adjusted with respect to each conversion effected thereafter by the Holder to the lowest of (A) the Conversion Price as in effect on the date on which the applicable Redemption Notice is voided, (B) the greater of (x) the Floor Price and (y) 75% of the lowest Closing Bid Price of the Common Stock during the period beginning on and including the date on which the applicable Redemption Notice is delivered to the Company and ending on and including the date on which the applicable Redemption Notice is voided and</w:t>
      </w:r>
    </w:p>
    <w:p>
      <w:pPr>
        <w:spacing w:after="0" w:line="7" w:lineRule="exact"/>
        <w:rPr>
          <w:rFonts w:ascii="Times New Roman" w:cs="Times New Roman" w:eastAsia="Times New Roman" w:hAnsi="Times New Roman"/>
          <w:sz w:val="18"/>
          <w:szCs w:val="18"/>
          <w:color w:val="auto"/>
        </w:rPr>
      </w:pPr>
    </w:p>
    <w:p>
      <w:pPr>
        <w:jc w:val="both"/>
        <w:ind w:firstLine="8"/>
        <w:spacing w:after="0" w:line="253" w:lineRule="auto"/>
        <w:tabs>
          <w:tab w:leader="none" w:pos="28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(x) the Floor Price and (y)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firstLine="1304"/>
        <w:spacing w:after="0" w:line="253" w:lineRule="auto"/>
        <w:tabs>
          <w:tab w:leader="none" w:pos="155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 by Other Holders</w:t>
      </w:r>
      <w:r>
        <w:rPr>
          <w:rFonts w:ascii="Times New Roman" w:cs="Times New Roman" w:eastAsia="Times New Roman" w:hAnsi="Times New Roman"/>
          <w:sz w:val="18"/>
          <w:szCs w:val="18"/>
          <w:color w:val="auto"/>
        </w:rPr>
        <w:t>. Upon the Company’s receipt of notice from any of the holders of the Other Notes for redemption or repayment as a result of an event or occurrence substantially similar to the events or occurrences described in Section 4(b) or Section 5(b) (each, an “</w:t>
      </w: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two (2) Business Days prior to the Company’s receipt of the Holder’s applicable Redemption Notice and ending on and including the date which is two (2) Business Days after the Company’s receipt of the Holder’s applicable Redemption Notice and the Company is unable to redeem all principal, interest and other amounts designated in such Redemption Notice and such Other Redemption Notices received during such seven (7) Business Day period, then the Company shall redeem a pro rata amount from each holder of the Notes (including the Holder) based on the principal amount of the Notes submitted for redemption pursuant to such Redemption Notice and such Other Redemption Notices received by the Company during such seven (7) Business Day period.</w:t>
      </w:r>
    </w:p>
    <w:p>
      <w:pPr>
        <w:spacing w:after="0" w:line="194"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 shall have no voting rights as the holder of this Note, except as required by law and as expressly provided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w:t>
      </w:r>
    </w:p>
    <w:p>
      <w:pPr>
        <w:spacing w:after="0" w:line="206"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Until all of the Notes have been converted, redeemed or otherwise satisfied in accordance with their terms: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All payments due under this Note (a) shall rank pari passu with all Other Notes and (b) shall be senior to all other Indebtedness of the Company and its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Payments and Investments</w:t>
      </w:r>
      <w:r>
        <w:rPr>
          <w:rFonts w:ascii="Times New Roman" w:cs="Times New Roman" w:eastAsia="Times New Roman" w:hAnsi="Times New Roman"/>
          <w:sz w:val="18"/>
          <w:szCs w:val="18"/>
          <w:color w:val="auto"/>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Notes)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Redemption and Cash Dividends</w:t>
      </w:r>
      <w:r>
        <w:rPr>
          <w:rFonts w:ascii="Times New Roman" w:cs="Times New Roman" w:eastAsia="Times New Roman" w:hAnsi="Times New Roman"/>
          <w:sz w:val="18"/>
          <w:szCs w:val="18"/>
          <w:color w:val="auto"/>
        </w:rPr>
        <w:t>. The Company shall not, and the Company shall cause each of its Subsidiaries to not, directly or indirectly, redeem, repurchase, or declare or pay any cash dividend or distribution on any of its capital stock (other than Permitted Dividends (as defined in the Securities Purchase Agreement) paid in capital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on Transfer of Assets</w:t>
      </w:r>
      <w:r>
        <w:rPr>
          <w:rFonts w:ascii="Times New Roman" w:cs="Times New Roman" w:eastAsia="Times New Roman" w:hAnsi="Times New Roman"/>
          <w:sz w:val="18"/>
          <w:szCs w:val="18"/>
          <w:color w:val="auto"/>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(each, an “</w:t>
      </w:r>
      <w:r>
        <w:rPr>
          <w:rFonts w:ascii="Times New Roman" w:cs="Times New Roman" w:eastAsia="Times New Roman" w:hAnsi="Times New Roman"/>
          <w:sz w:val="18"/>
          <w:szCs w:val="18"/>
          <w:u w:val="single" w:color="auto"/>
          <w:color w:val="auto"/>
        </w:rPr>
        <w:t>Asset Sale</w:t>
      </w:r>
      <w:r>
        <w:rPr>
          <w:rFonts w:ascii="Times New Roman" w:cs="Times New Roman" w:eastAsia="Times New Roman" w:hAnsi="Times New Roman"/>
          <w:sz w:val="18"/>
          <w:szCs w:val="18"/>
          <w:color w:val="auto"/>
        </w:rPr>
        <w:t>”), other than (i) sales, leases, licenses, assignments, transfers, conveyances and other dispositions of such assets or rights by the Company and its Subsidiaries in the ordinary course of business consistent with its past practice, (ii) sales of inventory and product in the ordinary course of business, and (iii) arms-length sales of non-core assets for fair market value where the net proceeds are applied to repay this Note.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Subscription Date or any business substantially related or incidental thereto. The Company shall not, and the Company shall cause each of its Subsidiaries to not, directly or indirectly, modify its or their corporate structure or purpose in a manner that would materially and adversely affect the Holder’s rights under this Note or the other Transaction Documents.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ind w:firstLine="1304"/>
        <w:spacing w:after="0" w:line="261" w:lineRule="auto"/>
        <w:tabs>
          <w:tab w:leader="none" w:pos="15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 Etc</w:t>
      </w:r>
      <w:r>
        <w:rPr>
          <w:rFonts w:ascii="Times New Roman" w:cs="Times New Roman" w:eastAsia="Times New Roman" w:hAnsi="Times New Roman"/>
          <w:sz w:val="18"/>
          <w:szCs w:val="18"/>
          <w:color w:val="auto"/>
        </w:rPr>
        <w:t>.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Intellectual Property</w:t>
      </w:r>
      <w:r>
        <w:rPr>
          <w:rFonts w:ascii="Times New Roman" w:cs="Times New Roman" w:eastAsia="Times New Roman" w:hAnsi="Times New Roman"/>
          <w:sz w:val="18"/>
          <w:szCs w:val="18"/>
          <w:color w:val="auto"/>
        </w:rPr>
        <w:t>. The Company will, and will cause each of its Subsidiaries to, take all action necessary or advisable to maintain all of the Intellectual Property Rights (as defined in the Securities Purchase Agreement) of the Company and/or any of its Subsidiaries that are necessary or material to the conduct of its business in full force and effect.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(including, without limitation, no less than $1,000,000.00 of director and officer insurance).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82" w:lineRule="auto"/>
        <w:tabs>
          <w:tab w:leader="none" w:pos="155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PCAOB Registered Auditor</w:t>
      </w:r>
      <w:r>
        <w:rPr>
          <w:rFonts w:ascii="Times New Roman" w:cs="Times New Roman" w:eastAsia="Times New Roman" w:hAnsi="Times New Roman"/>
          <w:sz w:val="18"/>
          <w:szCs w:val="18"/>
          <w:color w:val="auto"/>
        </w:rPr>
        <w:t>. At all times any Notes remain outstanding, the Company shall have engaged an independent auditor to audit its financial statements that is registered with (and in compliance with the rules and regulations of) the Public Company Accounting Oversight Board.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4" w:name="page85"/>
    <w:bookmarkEnd w:id="84"/>
    <w:p>
      <w:pPr>
        <w:jc w:val="both"/>
        <w:ind w:firstLine="1304"/>
        <w:spacing w:after="0" w:line="255" w:lineRule="auto"/>
        <w:tabs>
          <w:tab w:leader="none" w:pos="160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Investigation</w:t>
      </w:r>
      <w:r>
        <w:rPr>
          <w:rFonts w:ascii="Times New Roman" w:cs="Times New Roman" w:eastAsia="Times New Roman" w:hAnsi="Times New Roman"/>
          <w:sz w:val="18"/>
          <w:szCs w:val="18"/>
          <w:color w:val="auto"/>
        </w:rPr>
        <w:t>. At the request of the Holder either (x) at any time when an Event of Default has occurred and is continuing, (y) upon the occurrence of an event that with the passage of time or giving of notice would constitute an Event of Default, or (z) at any time the Holder reasonably believes (accompanied by supporting documentation or evidence that provides a reasonable basis for such belief) an Event of Default may have occurred or be continuing, the Company shall hire an independent, reputable investment bank selected by the Company and approved by the Holder to investigate as to whether any breach of this Note has occurred (the “</w:t>
      </w:r>
      <w:r>
        <w:rPr>
          <w:rFonts w:ascii="Times New Roman" w:cs="Times New Roman" w:eastAsia="Times New Roman" w:hAnsi="Times New Roman"/>
          <w:sz w:val="18"/>
          <w:szCs w:val="18"/>
          <w:u w:val="single" w:color="auto"/>
          <w:color w:val="auto"/>
        </w:rPr>
        <w:t>Independent Investigator</w:t>
      </w:r>
      <w:r>
        <w:rPr>
          <w:rFonts w:ascii="Times New Roman" w:cs="Times New Roman" w:eastAsia="Times New Roman" w:hAnsi="Times New Roman"/>
          <w:sz w:val="18"/>
          <w:szCs w:val="18"/>
          <w:color w:val="auto"/>
        </w:rPr>
        <w:t>”). The Independent Investigator shall enter into a customary non-disclosure agreement with the Company and shall not disclose any information except as necessary to confirm the breach. In addition to that, access shall be limited to information reasonably related to the potential breach under investigation. If the Independent Investigator determines that such breach of this Note has occurred, the Independent Investigator shall notify the Company of such breach and the Company shall deliver written notice to each holder of a Note of such breach. In connection with such investigation, the Independent Investigator may, during normal business hours, inspect all contracts, books, records, personnel, offices, and other facilities and properties of the Company and its Subsidiaries and, to the extent available to the Company after the Company uses reasonable efforts to obtain them, the records of its legal advisors and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the Company’s officers, directors, key employees, and independent public accountants or any of them (and by this provision the Company authorizes said accountants to discuss with such Independent Investigator the finances and affairs of the Company and any Subsidiaries), all at such reasonable times, upon reasonable notice, and as often as may be reasonably requested.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656"/>
        <w:spacing w:after="0" w:line="252" w:lineRule="auto"/>
        <w:tabs>
          <w:tab w:leader="none" w:pos="93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OF ASSETS</w:t>
      </w:r>
      <w:r>
        <w:rPr>
          <w:rFonts w:ascii="Times New Roman" w:cs="Times New Roman" w:eastAsia="Times New Roman" w:hAnsi="Times New Roman"/>
          <w:sz w:val="18"/>
          <w:szCs w:val="18"/>
          <w:color w:val="auto"/>
        </w:rPr>
        <w:t>. In addition to any adjustments pursuant to Sections 6(a) or 7, if the Company shall declare or make any dividend or other distributions of its assets (or rights to acquire its assets) to any or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 (provided, however, that to the extent that the Holder’s right to participate in any such Distribution would result in the Holder and the other Attribution Parties exceeding the Maximum Percentage, then the Holder shall not be entitled to participate in such Distribution to the extent of the Maximum Percentage (and shall not be entitled to beneficial ownership of such shares of Common Stock as a result of such Distribution (and beneficial ownership) to the extent of any such excess) and the portion of such Distribution shall be held in abeyance for the benefit of the Holder until such time or times, if ever, (a) that the Holder converts all or a portion of the Note, in which case the Holder’s right to participate in such Distribution shall be limited to the Distribution attributable to the Conversion Shares issued or issuable upon such conversion, subject to adjustment as set forth in this Note, and (b) if the Holder converts all or a portion of the Note and clause (a) thus applies,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3" w:lineRule="exact"/>
        <w:rPr>
          <w:rFonts w:ascii="Times New Roman" w:cs="Times New Roman" w:eastAsia="Times New Roman" w:hAnsi="Times New Roman"/>
          <w:sz w:val="18"/>
          <w:szCs w:val="18"/>
          <w:color w:val="auto"/>
        </w:rPr>
      </w:pPr>
    </w:p>
    <w:p>
      <w:pPr>
        <w:jc w:val="both"/>
        <w:ind w:firstLine="656"/>
        <w:spacing w:after="0" w:line="255" w:lineRule="auto"/>
        <w:tabs>
          <w:tab w:leader="none" w:pos="9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AMENDING THE TERMS OF THIS NOTE</w:t>
      </w:r>
      <w:r>
        <w:rPr>
          <w:rFonts w:ascii="Times New Roman" w:cs="Times New Roman" w:eastAsia="Times New Roman" w:hAnsi="Times New Roman"/>
          <w:sz w:val="18"/>
          <w:szCs w:val="18"/>
          <w:color w:val="auto"/>
        </w:rPr>
        <w:t>. Except for Section 3(d), which may not be amended, modified or waived by the parties hereto, the prior written consent of the Required Holders (as defined in the Securities Purchase Agreement) shall be required for any amendment, modification or waiver to this Note. Any amendment, modification or waiver so approved shall be binding upon all existing and future holders of this Note and any Other Notes;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17.</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This Note and any shares of Common Stock issued upon conversion of this Note may be offered, sold, assigned, or transferred by the Holder without the consent of the Company, subject only to the provisions of Section 4.1(c) of the Securities Purchase Agreement.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REISSUANCE OF THIS NOTE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If this Note is to be transferred, the Holder shall surrender this Note to the Company, whereupon the Company will forthwith issue and deliver upon the order of the Holder a new Note (in accordance with Section 20(d)), registered as the Holder may request, representing the outstanding Principal being transferred by the Holder and, if less than the entire outstanding Principal is being transferred, a new Note (in accordance with Section 20(d))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1304"/>
        <w:spacing w:after="0" w:line="258" w:lineRule="auto"/>
        <w:tabs>
          <w:tab w:leader="none" w:pos="155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Mutilated Note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20(d)) representing the outstanding Principal.</w:t>
      </w:r>
    </w:p>
    <w:p>
      <w:pPr>
        <w:spacing w:after="0" w:line="183"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Exchangeable for Different Denominations</w:t>
      </w:r>
      <w:r>
        <w:rPr>
          <w:rFonts w:ascii="Times New Roman" w:cs="Times New Roman" w:eastAsia="Times New Roman" w:hAnsi="Times New Roman"/>
          <w:sz w:val="18"/>
          <w:szCs w:val="18"/>
          <w:color w:val="auto"/>
        </w:rPr>
        <w:t>. This Note is exchangeable, upon the surrender hereof by the Holder at the principal office of the Company, for a new Note or Notes (in accordance with Section 20(d)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New Notes</w:t>
      </w:r>
      <w:r>
        <w:rPr>
          <w:rFonts w:ascii="Times New Roman" w:cs="Times New Roman" w:eastAsia="Times New Roman" w:hAnsi="Times New Roman"/>
          <w:sz w:val="18"/>
          <w:szCs w:val="18"/>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20(a) or Section 20(c),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91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 CHARACTERIZATIONS, OTHER OBLIGATIONS, BREACHES AND INJUNCTIVE RELIEF</w:t>
      </w:r>
      <w:r>
        <w:rPr>
          <w:rFonts w:ascii="Times New Roman" w:cs="Times New Roman" w:eastAsia="Times New Roman" w:hAnsi="Times New Roman"/>
          <w:sz w:val="18"/>
          <w:szCs w:val="18"/>
          <w:color w:val="auto"/>
        </w:rPr>
        <w:t>. The remedies provided in this Note shall be cumulative and in addition to all other remedies available under this Note and any of the other Transaction Documents at law or in equity (including a decree of specific performance and/or other injunctive relief), and nothing herein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in any such case without the necessity of proving actual damages and without posting a bond or other security. The Company shall provide all information and documentation to the Holder that is requested by the Holder to enable the Holder to confirm the Company’s compliance with the terms and conditions of this Note (including, without limitation, compliance with Section 7).</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jc w:val="both"/>
        <w:ind w:firstLine="656"/>
        <w:spacing w:after="0" w:line="254" w:lineRule="auto"/>
        <w:tabs>
          <w:tab w:leader="none" w:pos="9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COLLECTION, ENFORCEMENT, AND OTHER COSTS</w:t>
      </w:r>
      <w:r>
        <w:rPr>
          <w:rFonts w:ascii="Times New Roman" w:cs="Times New Roman" w:eastAsia="Times New Roman" w:hAnsi="Times New Roman"/>
          <w:sz w:val="18"/>
          <w:szCs w:val="18"/>
          <w:color w:val="auto"/>
        </w:rPr>
        <w:t>. If (a) this Note is placed in the hands of an attorney for collection or enforcement or is collected or enforced through any legal proceeding or the Holder otherwise takes action to collect amounts due under this Note and/or any other Transaction Document or to enforce the provisions of this Note and/or any other Transaction Document,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and/or any other Transaction Document, as applicable, shall be affected, or limited, by the fact that the purchase price paid for this Note was less than the original Principal amount 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HEADINGS</w:t>
      </w:r>
      <w:r>
        <w:rPr>
          <w:rFonts w:ascii="Times New Roman" w:cs="Times New Roman" w:eastAsia="Times New Roman" w:hAnsi="Times New Roman"/>
          <w:sz w:val="18"/>
          <w:szCs w:val="18"/>
          <w:color w:val="auto"/>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every gender and the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OR INDULGENCE NOT WAIVER</w:t>
      </w:r>
      <w:r>
        <w:rPr>
          <w:rFonts w:ascii="Times New Roman" w:cs="Times New Roman" w:eastAsia="Times New Roman" w:hAnsi="Times New Roman"/>
          <w:sz w:val="18"/>
          <w:szCs w:val="18"/>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 Notwithstanding the foregoing, nothing contained in this Section 23 shall permit any waiver of any provision of Section 3(d).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ind w:left="920" w:hanging="264"/>
        <w:spacing w:after="0"/>
        <w:tabs>
          <w:tab w:leader="none" w:pos="9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to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74"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dispute relating to a Closing Bid Price, a Closing Sale Price, a Conversion Price, an Alternate Conversion Price, a VWAP, a fair market value, or the arithmetic calculation of a Conversion Rate or the applicable Redemption Price (as the case may be) (including, without limitation, a dispute relating to the determination of any of the foregoing), the Company or the Holder (as the case may be) shall submit the dispute to the other party via electronic mail (A) if by the Company, within five (5)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Closing Bid Price, such Closing Sale Price, such Conversion Price, such Alternate Conversion Price, such VWAP, or such fair market value, or the arithmetic calculation of such Conversion Rate or such applicable Redemption Price (as the case may be), at any time after the fifth (5th) Business Day following such initial notice by the Company or the Holder (as the case may be) of such dispute to the Company or the Holder (as the case may be), then the Company and the Investor may select an independent, reputable investment bank as mutually agreed upon to resolve such dispute. If the parties cannot agree upon such an investment bank within ten (10) Business Days of the date of the initial notice, the parties shall apply to the Chancery Court of the State of Delaware and the United States District Court for the District of Delaware for the appointment of an arbitrator.</w:t>
      </w:r>
    </w:p>
    <w:p>
      <w:pPr>
        <w:spacing w:after="0" w:line="189"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7"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the Company shall each deliver to such investment bank (or arbitrator) (A) a copy of the initial dispute submission so delivered in accordance with the first sentence of this Section 24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 w:cs="Times New Roman" w:eastAsia="Times New Roman" w:hAnsi="Times New Roman"/>
          <w:sz w:val="18"/>
          <w:szCs w:val="18"/>
          <w:u w:val="single" w:color="auto"/>
          <w:color w:val="auto"/>
        </w:rPr>
        <w:t>Dispute Submission Deadline</w:t>
      </w:r>
      <w:r>
        <w:rPr>
          <w:rFonts w:ascii="Times New Roman" w:cs="Times New Roman" w:eastAsia="Times New Roman" w:hAnsi="Times New Roman"/>
          <w:sz w:val="18"/>
          <w:szCs w:val="18"/>
          <w:color w:val="auto"/>
        </w:rPr>
        <w:t>”) (the documents referred to in the immediately preceding clauses (A) and (B) are collectively referred to herein as the “</w:t>
      </w:r>
      <w:r>
        <w:rPr>
          <w:rFonts w:ascii="Times New Roman" w:cs="Times New Roman" w:eastAsia="Times New Roman" w:hAnsi="Times New Roman"/>
          <w:sz w:val="18"/>
          <w:szCs w:val="18"/>
          <w:u w:val="single" w:color="auto"/>
          <w:color w:val="auto"/>
        </w:rPr>
        <w:t>Required Dispute Documentation</w:t>
      </w:r>
      <w:r>
        <w:rPr>
          <w:rFonts w:ascii="Times New Roman" w:cs="Times New Roman" w:eastAsia="Times New Roman" w:hAnsi="Times New Roman"/>
          <w:sz w:val="18"/>
          <w:szCs w:val="18"/>
          <w:color w:val="auto"/>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(or arbitrator) with respect to such dispute and such investment bank shall resolve such dispute based solely on the Required Dispute Documentation that was delivered to such investment bank (or arbitrator) prior to the Dispute Submission Deadline). Unless otherwise agreed to in writing by both the Company and the Holder or otherwise requested by such investment bank (or arbitrator), neither the Company nor the Holder shall be entitled to deliver or submit any written documentation or other support to such investment bank (or arbitrator) in connection with such dispute (other than the Required Dispute Documentation).</w:t>
      </w:r>
    </w:p>
    <w:p>
      <w:pPr>
        <w:spacing w:after="0" w:line="18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9" w:val="left"/>
        </w:tabs>
        <w:numPr>
          <w:ilvl w:val="2"/>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Holder shall cause such investment bank (or arbitrator) to determine the resolution of such dispute and notify the Company and the Holder of such resolution no later than ten (10) Business Days immediately following the Dispute Submission Deadline. The fees and expenses of such investment bank (or arbitrator) shall be borne by the losing party, and such investment bank’s (or arbitrator’s) resolution of such dispute shall be final and binding upon all parties absent manifest error.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ind w:firstLine="1304"/>
        <w:spacing w:after="0" w:line="254" w:lineRule="auto"/>
        <w:tabs>
          <w:tab w:leader="none" w:pos="157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Company expressly acknowledges and agrees that (i) this Section 24 constitutes an agreement to arbitrate between the Company and the Holder (and constitutes an arbitration agreement) under § 5701, et seq. of the Delaware Code Title 10) and that both the Company and the Holder are authorized to apply for an order to compel arbitration pursuant to Delaware Code Title 10 § 5703 in order to compel compliance with this Section 24, (ii)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and (iii) nothing in this Section 24 shall limit the Holder or the Company from obtaining any injunctive relief or other equitable remedies (including, without limitation, with respect to any matters described in this Section 24).</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CURRENCY;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Note, unless otherwise provided herein, such notice shall be given in accordance with Section 9(f) of the Securities Purchase Agreement. The Company shall provide the Holder with prompt written notice of all actions taken pursuant to this Note, including in reasonable detail a description of such action and the reason therefor. Without limiting the generality of the foregoing, the Company will give written notice to the Holder (i) immediately upon any adjustment of the Conversion Price, setting forth in reasonable detail, and certifying, the calculation of such adjustment and (ii) at least fifteen (15)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dollar amounts referred to in this Note are in United States Dollars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all amounts owing under this Note shall be paid in U.S. Dollars.</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Whenever any payment of cash is to be made by the Company to any Person pursuant to this Note, unless otherwise expressly set forth herein, such payment shall be made in lawful money of the United States of America by wire transfer of immediately available funds sent in accordance with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eighteen percent (18%) per annum from the date such amount was due until the same is paid in full (“</w:t>
      </w:r>
      <w:r>
        <w:rPr>
          <w:rFonts w:ascii="Times New Roman" w:cs="Times New Roman" w:eastAsia="Times New Roman" w:hAnsi="Times New Roman"/>
          <w:sz w:val="18"/>
          <w:szCs w:val="18"/>
          <w:u w:val="single" w:color="auto"/>
          <w:color w:val="auto"/>
        </w:rPr>
        <w:t>Late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Charge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firstLine="656"/>
        <w:spacing w:after="0" w:line="266" w:lineRule="auto"/>
        <w:tabs>
          <w:tab w:leader="none" w:pos="94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After all Principal, accrued Interest, Late Charges and other amounts at any time owed on this Note or any other Transaction Documents have been paid in full or converted, this Note shall automatically be deemed canceled, shall be surrendered to the Company for cancellation, and shall not be reissued.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To the extent permitted by law, the Company hereby irrevocably waives demand, notice, presentment, protest and all other demands and notices in connection with the delivery, acceptance, performance, default or enforcement of this Note and the Securities Purchase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2" w:lineRule="auto"/>
        <w:tabs>
          <w:tab w:leader="none" w:pos="9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construed and enforced in accordance with, and all questions concerning the construction, validity, interpretation and performance of this Note shall be governed by,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Except as otherwise required by Section 25 above, the Company hereby irrevocably submits to the exclusive jurisdiction of the Court of Chancery of the State of Delaware and the United States District Court for the District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(i) shall be deemed or operate to preclude the Holder from bringing suit or taking other legal action against the Company in any other jurisdiction to collect on the Company’s obligations to the Holder or to enforce a judgment or other court ruling in favor of the Holder or (ii) shall limit, or shall be deemed or construed to limit, any provision of Section 25. THE COMPANY HEREBY IRREVOCABLY WAIVES ANY RIGHT IT MAY HAVE TO, AND AGREES NOT TO REQUEST, A JURY TRIAL FOR THE ADJUDICATION OF ANY DISPUTE HEREUNDER OR IN CONNECTION WITH OR ARISING OUT OF THIS NOTE OR ANY TRANSACTION CONTEMPLATED HEREBY.</w:t>
      </w:r>
    </w:p>
    <w:p>
      <w:pPr>
        <w:spacing w:after="0" w:line="19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jc w:val="both"/>
        <w:ind w:firstLine="656"/>
        <w:spacing w:after="0" w:line="261" w:lineRule="auto"/>
        <w:tabs>
          <w:tab w:leader="none" w:pos="91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PAYMENTS</w:t>
      </w:r>
      <w:r>
        <w:rPr>
          <w:rFonts w:ascii="Times New Roman" w:cs="Times New Roman" w:eastAsia="Times New Roman" w:hAnsi="Times New Roman"/>
          <w:sz w:val="18"/>
          <w:szCs w:val="18"/>
          <w:color w:val="auto"/>
        </w:rPr>
        <w:t>. Without limiting Section 9(d) of the Securities Purchase Agreement, nothing contained herein shall be deemed to establish or require the payment of a rate of interest or other charges in excess of the maximum permitted by applicable law. If the rate of interest required to be paid or other charges hereunder exceed the maximum permitted by such law, any payments in excess of such maximum shall be credited against amounts owed by the Company to the Holder and thus refunded to the Company.</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For purposes of this Note, the following terms shall have the following meanings: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1933 Act</w:t>
      </w:r>
      <w:r>
        <w:rPr>
          <w:rFonts w:ascii="Times New Roman" w:cs="Times New Roman" w:eastAsia="Times New Roman" w:hAnsi="Times New Roman"/>
          <w:sz w:val="18"/>
          <w:szCs w:val="18"/>
          <w:color w:val="auto"/>
        </w:rPr>
        <w:t>” means the Securities Act of 1933, as amended, and the rules and regulations thereunder.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1934 Act</w:t>
      </w:r>
      <w:r>
        <w:rPr>
          <w:rFonts w:ascii="Times New Roman" w:cs="Times New Roman" w:eastAsia="Times New Roman" w:hAnsi="Times New Roman"/>
          <w:sz w:val="18"/>
          <w:szCs w:val="18"/>
          <w:color w:val="auto"/>
        </w:rPr>
        <w:t>” means the Securities Exchange Act of 1934, as amended, and the rules and regulations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controls, is controlled by, or is under common control with, such Person, it being understood for purposes of this definition that “control” of a Person means the power directly or indirectly to direct or cause the direction of the management and policies of such Person whether by contract or otherwise.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2"/>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Alternate Conversion Price</w:t>
      </w:r>
      <w:r>
        <w:rPr>
          <w:rFonts w:ascii="Times New Roman" w:cs="Times New Roman" w:eastAsia="Times New Roman" w:hAnsi="Times New Roman"/>
          <w:sz w:val="18"/>
          <w:szCs w:val="18"/>
          <w:color w:val="auto"/>
        </w:rPr>
        <w:t>” means, with respect to any Alternate Conversion, the lower of (i) the greater of (A) the Floor Price and</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0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lowest Closing Bid Price of the Common Stock during the twenty (20) consecutive Trading Days immediately preceding the Event of Default Date and (ii) the greater of (A) the Floor Price and (B) 75% of the quotient of (I) the sum of the five (5) lowest VWAPs of the Common Stock during the twenty (20) consecutive Trading Day period ending and including the applicable Conversion Date divided by (II) five (5) (it being understood and agreed that all such determinations shall be appropriately adjusted for any stock dividend, stock split, stock combination or other similar transaction during such period).</w:t>
      </w:r>
    </w:p>
    <w:p>
      <w:pPr>
        <w:spacing w:after="0" w:line="18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1"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L.P.</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jc w:val="both"/>
        <w:ind w:firstLine="1304"/>
        <w:spacing w:after="0" w:line="255"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any Fundamental Transaction other than (i) any merger of the Company or any of its, direct or indirect, wholly-owned Subsidiaries with or into any of the foregoing Persons, (ii) any reorganization, recapitalization or reclassification of the shares of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respects,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(iii) pursuant to a migratory merger effected solely for the purpose of changing the jurisdiction of incorporation of the Company or any of its Subsidiaries.</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Redemption Premium</w:t>
      </w:r>
      <w:r>
        <w:rPr>
          <w:rFonts w:ascii="Times New Roman" w:cs="Times New Roman" w:eastAsia="Times New Roman" w:hAnsi="Times New Roman"/>
          <w:sz w:val="18"/>
          <w:szCs w:val="18"/>
          <w:color w:val="auto"/>
        </w:rPr>
        <w:t>” means 110%.</w:t>
      </w:r>
    </w:p>
    <w:p>
      <w:pPr>
        <w:spacing w:after="0" w:line="22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1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Bid Price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Pink Open Market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24. All such determinations shall be appropriately adjusted for any stock splits, stock dividends, stock combinations, recapitalizations or other similar transactions during such period.</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have the meaning set forth in the Securities Purchase Agreement, which date is the date the Company initially issued Notes pursuant to the terms of the Securities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ind w:firstLine="1304"/>
        <w:spacing w:after="0" w:line="282" w:lineRule="auto"/>
        <w:tabs>
          <w:tab w:leader="none" w:pos="151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(i) the Company’s shares of common stock, par value $0.001 per share, and (ii) any capital stock into which such common stock shall have been changed or any share capital resulting from a reclassification of such common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1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Subsidiary</w:t>
      </w:r>
      <w:r>
        <w:rPr>
          <w:rFonts w:ascii="Times New Roman" w:cs="Times New Roman" w:eastAsia="Times New Roman" w:hAnsi="Times New Roman"/>
          <w:sz w:val="18"/>
          <w:szCs w:val="18"/>
          <w:color w:val="auto"/>
        </w:rPr>
        <w:t>” means, other than Excluded Subsidiaries (as defined in the Securities Purchase Agreement), any Person in which the Company on the Subscription Date, directly or indirectly, (i) owns any of the outstanding capital stock or holds any equity or similar interest of such Person or (ii) controls or operates all or any part of the business, operations or administration of such Person, and all of the foregoing, collectively, “Current Subsidiaries”.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Market</w:t>
      </w:r>
      <w:r>
        <w:rPr>
          <w:rFonts w:ascii="Times New Roman" w:cs="Times New Roman" w:eastAsia="Times New Roman" w:hAnsi="Times New Roman"/>
          <w:sz w:val="18"/>
          <w:szCs w:val="18"/>
          <w:color w:val="auto"/>
        </w:rPr>
        <w:t>” means The New York Stock Exchange, the NYSE American, the Nasdaq Global Select Market, the Nasdaq Global Market, or the Principal Market.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means 20% below the closing sale price of a share of the Company’s Common Stock on the Principal Market on the Issuance Date (or such lower amount as permitted, from time to time, by the Principal Market), subject to adjustment for stock splits, stock dividends, stock combinations, recapitalizations or other similar events.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6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1934 Act) of at least 50% of the outstanding shares of Common Stock, or (iv) consummate a stock or share purchase agreement or other business combination (including, without limitation, a reorganization, recapitalization, spin-off or scheme of arrangement) with one or more Subject Entities whereby all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1934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1934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date of this Note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shareholders of the Company to surrender their shares of Common Stock without approval of the shareholders of the Company or (C)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ind w:left="1520" w:hanging="216"/>
        <w:spacing w:after="0"/>
        <w:tabs>
          <w:tab w:leader="none" w:pos="15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a “group” as that term is used in Section 13(d) of the 1934 Act and as defined in Rule 13d-5 thereunder.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Pro Rata Amount</w:t>
      </w:r>
      <w:r>
        <w:rPr>
          <w:rFonts w:ascii="Times New Roman" w:cs="Times New Roman" w:eastAsia="Times New Roman" w:hAnsi="Times New Roman"/>
          <w:sz w:val="18"/>
          <w:szCs w:val="18"/>
          <w:color w:val="auto"/>
        </w:rPr>
        <w:t>” means a fraction (i) the numerator of which is the original Principal amount of this Note on the Closing Date and (ii) the denominator of which is the aggregate original principal amount of all Notes issued to the initial purchasers pursuant to the Securities Purchase Agreement on the Closing Date.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the Securities Purchase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9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mean the date that is twenty-four (24) months after the Issuance Date; provided, however, the Maturity Date may be extended at the option of the Holder (i) in the event that, and for so long as, an Event of Default shall have occurred and be continuing or any event shall have occurred and be continuing that with the passage of time and the failure to cure would result in an Event of Default or (ii) through the date that is twenty (20) Business Days after the consummation of a Fundamental Transaction in the event that a Fundamental Transaction is publicly announced or a Change of Control Notice is delivered prior to the Maturity Date, provided further that if a Holder elects to convert some or all of this Note pursuant to Section 3 hereof, and the Conversion Amount would be limited pursuant to Section 3(d) hereunder, the Maturity Date shall automatically be extended until such time as such provision shall not limit the conversion of this Note.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jc w:val="both"/>
        <w:ind w:firstLine="1304"/>
        <w:spacing w:after="0" w:line="266" w:lineRule="auto"/>
        <w:tabs>
          <w:tab w:leader="none" w:pos="15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Subsidiary</w:t>
      </w:r>
      <w:r>
        <w:rPr>
          <w:rFonts w:ascii="Times New Roman" w:cs="Times New Roman" w:eastAsia="Times New Roman" w:hAnsi="Times New Roman"/>
          <w:sz w:val="18"/>
          <w:szCs w:val="18"/>
          <w:color w:val="auto"/>
        </w:rPr>
        <w:t>” means, as of any date of determination, any Person in which the Company after the Subscription Date, directly or indirectly, (i) owns or acquires any of the outstanding capital stock or holds any equity or similar interest of such Person or (ii) controls or operates all or any part of the business, operations or administration of such Person, and all of the foregoing, collectively, “New Subsidiaries”.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76" w:lineRule="exact"/>
        <w:rPr>
          <w:sz w:val="20"/>
          <w:szCs w:val="20"/>
          <w:color w:val="auto"/>
        </w:rPr>
      </w:pPr>
    </w:p>
    <w:p>
      <w:pPr>
        <w:ind w:firstLine="1304"/>
        <w:spacing w:after="0" w:line="282" w:lineRule="auto"/>
        <w:tabs>
          <w:tab w:leader="none" w:pos="16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or a government or any department or agency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Price Closing Failure</w:t>
      </w:r>
      <w:r>
        <w:rPr>
          <w:rFonts w:ascii="Times New Roman" w:cs="Times New Roman" w:eastAsia="Times New Roman" w:hAnsi="Times New Roman"/>
          <w:sz w:val="18"/>
          <w:szCs w:val="18"/>
          <w:color w:val="auto"/>
        </w:rPr>
        <w:t>” means, with respect to a particular date of determination, the VWAP of the Common Stock on any Trading Day during the five (5) Trading Day period ending on the Trading Day immediately preceding such date of determination fails to exceed the Floor Price (as adjusted for stock splits, stock dividends, stock combinations, recapitalizations or other similar transactions occurring after the Subscription Date). All such determinations to be appropriately adjusted for any stock splits, stock dividends, stock combinations, recapitalizations or other similar transactions during any such measuring period.</w:t>
      </w:r>
    </w:p>
    <w:p>
      <w:pPr>
        <w:spacing w:after="0" w:line="183"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Stock Market.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Notices</w:t>
      </w:r>
      <w:r>
        <w:rPr>
          <w:rFonts w:ascii="Times New Roman" w:cs="Times New Roman" w:eastAsia="Times New Roman" w:hAnsi="Times New Roman"/>
          <w:sz w:val="18"/>
          <w:szCs w:val="18"/>
          <w:color w:val="auto"/>
        </w:rPr>
        <w:t>” means, collectively, the Event of Default Redemption Notices, the Company Optional Redemption Notices, the Subsequent Placement Optional Redemption Notices, and the Change of Control Redemption Notices, and each of the foregoing, individually, a “Redemption Notice.”</w:t>
      </w:r>
    </w:p>
    <w:p>
      <w:pPr>
        <w:spacing w:after="0" w:line="17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110%.</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Prices</w:t>
      </w:r>
      <w:r>
        <w:rPr>
          <w:rFonts w:ascii="Times New Roman" w:cs="Times New Roman" w:eastAsia="Times New Roman" w:hAnsi="Times New Roman"/>
          <w:sz w:val="18"/>
          <w:szCs w:val="18"/>
          <w:color w:val="auto"/>
        </w:rPr>
        <w:t>” means, collectively, Event of Default Redemption Prices, the Change of Control Redemption Prices, the Subsequent Placement Optional Redemption Prices, and the Company Optional Redemption Prices, and each of the foregoing, individually, a “Redemption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ind w:firstLine="1304"/>
        <w:spacing w:after="0" w:line="266" w:lineRule="auto"/>
        <w:tabs>
          <w:tab w:leader="none" w:pos="16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that certain registration rights agreement, dated as of the Closing Date, by and among the Company and the initial holders of the Notes relating to, among other things, the registration of the resale of the Common Stock issuable upon conversion of the Notes or otherwise pursuant to the terms of the Notes, as may be amended from time to time.</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the successor thereto.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means that certain securities purchase agreement, dated as of the Subscription Date, by and among the Company and the initial holders of the Notes pursuant to which the Company issued the Notes, as may be amended from time to time.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Date</w:t>
      </w:r>
      <w:r>
        <w:rPr>
          <w:rFonts w:ascii="Times New Roman" w:cs="Times New Roman" w:eastAsia="Times New Roman" w:hAnsi="Times New Roman"/>
          <w:sz w:val="18"/>
          <w:szCs w:val="18"/>
          <w:color w:val="auto"/>
        </w:rPr>
        <w:t>” means March 16, 2026</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Subject Entity</w:t>
      </w:r>
      <w:r>
        <w:rPr>
          <w:rFonts w:ascii="Times New Roman" w:cs="Times New Roman" w:eastAsia="Times New Roman" w:hAnsi="Times New Roman"/>
          <w:sz w:val="18"/>
          <w:szCs w:val="18"/>
          <w:color w:val="auto"/>
        </w:rPr>
        <w:t>” means any Person, Persons or Group or any Affiliate or associate of any such Person, Persons or Group.</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means, as of any date of determination, collectively, all Current Subsidiaries and all New Subsidiaries, and each of the foregoing, individually, a “Subsidiary” other than Excluded Subsidiaries, as such term is defined in the Securities Purchase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means the Person (or, if so elected by the Holder, the Parent Entity) formed by, resulting from or surviving any Fundamental Transaction or the Person (or, if so elected by the Holder, the Parent Entity) with which such Fundamental Transaction shall have been entered into.</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New York Stock Exchange (or any successor thereto) is open for trading of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1304"/>
        <w:spacing w:after="0" w:line="253" w:lineRule="auto"/>
        <w:tabs>
          <w:tab w:leader="none" w:pos="164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security as of any date, the dollar volume-weighted average price for such security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through its “VWAP” function (set to 09:30 start time and 16:00 end time) or, if the foregoing does not apply, the dollar volume-weighted average price of such security in the over-the-counter market on the electronic bulletin board for such security during the period beginning at 9:30 a.m., New York time, and ending at 4:00 p.m., New York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Open Market (or a similar organization or agency succeeding to its functions of reporting prices). If the VWAP cannot be calculated for such security on such date on any of the foregoing bases, the VWAP of such security on such date shall be the fair market value as mutually determined by the Company and the Holder. If the Company and the Holder are unable to agree upon the fair market value of such security, then such dispute shall be resolved in accordance with the procedures in Section 25. All such determinations shall be appropriately adjusted for any stock dividend, stock split, stock combination, recapitalization or other similar transaction during such period.</w:t>
      </w:r>
    </w:p>
    <w:p>
      <w:pPr>
        <w:spacing w:after="0" w:line="189" w:lineRule="exact"/>
        <w:rPr>
          <w:rFonts w:ascii="Times New Roman" w:cs="Times New Roman" w:eastAsia="Times New Roman" w:hAnsi="Times New Roman"/>
          <w:sz w:val="18"/>
          <w:szCs w:val="18"/>
          <w:color w:val="auto"/>
        </w:rPr>
      </w:pPr>
    </w:p>
    <w:p>
      <w:pPr>
        <w:jc w:val="both"/>
        <w:ind w:firstLine="656"/>
        <w:spacing w:after="0" w:line="253" w:lineRule="auto"/>
        <w:tabs>
          <w:tab w:leader="none" w:pos="9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Current Report on Form 8-K or otherwise. If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 Nothing contained in this Section 32 shall limit any obligations of the Company, or any rights of the Holder, under Section 4(i) of the Securities Purchase Agreement.</w:t>
      </w:r>
    </w:p>
    <w:p>
      <w:pPr>
        <w:spacing w:after="0" w:line="194"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TRADING AND DISCLOSURE RESTRICTIONS</w:t>
      </w:r>
      <w:r>
        <w:rPr>
          <w:rFonts w:ascii="Times New Roman" w:cs="Times New Roman" w:eastAsia="Times New Roman" w:hAnsi="Times New Roman"/>
          <w:sz w:val="18"/>
          <w:szCs w:val="18"/>
          <w:color w:val="auto"/>
        </w:rPr>
        <w:t>. The Company acknowledges and agrees that the Holder is not a fiduciary or agent of the Company and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left="660"/>
        <w:spacing w:after="0"/>
        <w:rPr>
          <w:sz w:val="20"/>
          <w:szCs w:val="20"/>
          <w:color w:val="auto"/>
        </w:rPr>
      </w:pPr>
      <w:r>
        <w:rPr>
          <w:rFonts w:ascii="Times New Roman" w:cs="Times New Roman" w:eastAsia="Times New Roman" w:hAnsi="Times New Roman"/>
          <w:sz w:val="18"/>
          <w:szCs w:val="18"/>
          <w:color w:val="auto"/>
        </w:rPr>
        <w:t>IN WITNESS WHEREOF, the Company has caused this Note to be duly executed as of the Issuance Date set out above.</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Stubblefield</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Stubblefield</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[Interim]</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&amp; President</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CONVERSION NOTICE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Unsecured Convertible Promissory Note (the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issued to the undersigned by Sports Entertainment Gaming Global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accordance with and pursuant to the Note, the undersigned hereby elects to convert the Conversion Amount (as defined in the Note) of the Note indicated below into shares of Common Stock, $0.001 par value per share (the “Common Stock”), of the Company, as of the date specified below. Capitalized terms not defined herein shall have the meaning as set forth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Date of Conversion: 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Principal to be converted: __________________________________________________________________</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Aggregate accrued and unpaid Interest and accrued and unpaid Late Charges with respect to such portion of the Aggregate Principal and such Aggregate Interest to be converted: 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CONVERSION AMOUNT TO BE CONVERTED: 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confirm the following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Price: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to be issued: 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issue the Common Stock into which the Note is being converted to Holder, or for its benefit, as follows:</w:t>
      </w:r>
    </w:p>
    <w:p>
      <w:pPr>
        <w:spacing w:after="0" w:line="225" w:lineRule="exact"/>
        <w:rPr>
          <w:sz w:val="20"/>
          <w:szCs w:val="20"/>
          <w:color w:val="auto"/>
        </w:rPr>
      </w:pPr>
    </w:p>
    <w:p>
      <w:pPr>
        <w:ind w:left="440" w:hanging="432"/>
        <w:spacing w:after="0"/>
        <w:tabs>
          <w:tab w:leader="none" w:pos="440" w:val="left"/>
        </w:tabs>
        <w:numPr>
          <w:ilvl w:val="0"/>
          <w:numId w:val="1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as   a   certificate   to   the   following   name   and   to   the   following   address:</w:t>
      </w:r>
    </w:p>
    <w:p>
      <w:pPr>
        <w:spacing w:after="0" w:line="29"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____________________________________________________________________________________</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to: _____________________________________________________________________________________</w:t>
      </w:r>
    </w:p>
    <w:p>
      <w:pPr>
        <w:spacing w:after="0" w:line="225" w:lineRule="exact"/>
        <w:rPr>
          <w:sz w:val="20"/>
          <w:szCs w:val="20"/>
          <w:color w:val="auto"/>
        </w:rPr>
      </w:pPr>
    </w:p>
    <w:p>
      <w:pPr>
        <w:ind w:right="5120" w:firstLine="8"/>
        <w:spacing w:after="0" w:line="500" w:lineRule="auto"/>
        <w:tabs>
          <w:tab w:leader="none" w:pos="207" w:val="left"/>
        </w:tabs>
        <w:numPr>
          <w:ilvl w:val="0"/>
          <w:numId w:val="13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here if requesting delivery by Deposit/Withdrawal at Custodian as follows: DTC Participant:</w:t>
      </w:r>
    </w:p>
    <w:p>
      <w:pPr>
        <w:spacing w:after="0" w:line="1" w:lineRule="exact"/>
        <w:rPr>
          <w:rFonts w:ascii="MS PGothic" w:cs="MS PGothic" w:eastAsia="MS PGothic" w:hAnsi="MS PGothic"/>
          <w:sz w:val="18"/>
          <w:szCs w:val="18"/>
          <w:color w:val="auto"/>
        </w:rPr>
      </w:pPr>
    </w:p>
    <w:p>
      <w:pPr>
        <w:ind w:right="9940"/>
        <w:spacing w:after="0" w:line="500"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DTC Number: Account Number:</w:t>
      </w:r>
    </w:p>
    <w:p>
      <w:pPr>
        <w:spacing w:after="0" w:line="1"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Date: _____________ __, _____</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Name of Registered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 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Exhibit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ACKNOWLEDGMENT</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_________________ to issue the above indicated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Common Stock in accordance with the Transfer Agent Instructions dated _____________, 20__ from the Company and acknowledged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agreed to by ________________________.</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J. Stubblefield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16, 2026, between 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xml:space="preserve">” means, with respect to the Initial Registration Statement required to be filed hereunder, the 45th calendar day following the date hereof (or, in the event of a “full review” by the Commission, the 75th calendar day following the date hereof), with respect to any </w:t>
      </w:r>
      <w:r>
        <w:rPr>
          <w:rFonts w:ascii="Times New Roman" w:cs="Times New Roman" w:eastAsia="Times New Roman" w:hAnsi="Times New Roman"/>
          <w:sz w:val="18"/>
          <w:szCs w:val="18"/>
          <w:u w:val="single" w:color="auto"/>
          <w:color w:val="auto"/>
        </w:rPr>
        <w:t>Subsequent Tranche Registration Statement</w:t>
      </w:r>
      <w:r>
        <w:rPr>
          <w:rFonts w:ascii="Times New Roman" w:cs="Times New Roman" w:eastAsia="Times New Roman" w:hAnsi="Times New Roman"/>
          <w:sz w:val="18"/>
          <w:szCs w:val="18"/>
          <w:color w:val="auto"/>
        </w:rPr>
        <w:t xml:space="preserve">, the 45th calendar day following the Closing Date of such Subsequent Tranche (as defined in the Securities Purchase Agreement) (or, in the event of a “full review” by the Commission, the 75th calendar day following the Closing Date of such Subsequent Tranche), and with respect to any additional Registration Statements which may be required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45th calendar day following the date on which an additional Registration Statement is required to be filed hereunder (or, in the event of a “full review” by the Commission, the 75th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 and provided further, however, that if the Commission is closed following the Filing Date, in part or in full, for operations due to a government shutdown, the applicable Effectiveness Date shall be extended by the same amount of days that the Commission remains closed for operations following the 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means, (i) with respect to the Initial Registration Statement required hereunder,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date hereof (ii) with respect to any Subsequent Tranche Registration Statement,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following the Closing Date of such Subsequent Tranche, and (iii) with respect to any additional Registration Statements which may be required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the earliest practical date on which the Company is permitted by SEC Guidance to file such additional Registration Statement related to the Registrable Securities.</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 registering the resale of the shares of Common Stock issuable upon conversion of the Initial Tranche, the Second Tranche, and the Third Tranche (each, as defined in the Securities Purchase Agreement).</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4" w:name="page105"/>
    <w:bookmarkEnd w:id="10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as of any date of determination, subject in all respects to the provisos set forth below, (a) all Conversion Shares, and (b) any securities issued or then issuable upon any stock split, dividend or other distribution, recapitalization or similar event with respect to the foregoing; and provided further,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any registration statement required to be filed hereunder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any additional registration statements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Subsequent Tranche Registration Statement</w:t>
      </w:r>
      <w:r>
        <w:rPr>
          <w:rFonts w:ascii="Times New Roman" w:cs="Times New Roman" w:eastAsia="Times New Roman" w:hAnsi="Times New Roman"/>
          <w:sz w:val="18"/>
          <w:szCs w:val="18"/>
          <w:color w:val="auto"/>
        </w:rPr>
        <w:t>” means a Registration Statement filed pursuant to this Agreement registering the resale of the shares of Common Stock issuable upon conversion of any Subsequent Tranche.</w:t>
      </w:r>
    </w:p>
    <w:p>
      <w:pPr>
        <w:spacing w:after="0" w:line="16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 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Holder shall be required to be named as an “underwriter” without such Holder’s express prior written consent. Subject to the terms of this Agreement, the Company shall use its commercially reasonable efforts to cause a Registration Statement filed under this Agreement (including, without limitation,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to be declared effective under the Securities Act as promptly as possible after the filing thereof, but in any event no later than the applicable Effectiveness Date, and shall use its commercially reasonable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xml:space="preserve">”). The Company shall telephonically request effectiveness of a Registration Statement as of 5:00 p.m. (New York City time) on a Trading Day. The Company shall immediately notify the Holders via facsimile or by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2.2 Notwithstanding the registration obligations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or a </w:t>
      </w:r>
      <w:r>
        <w:rPr>
          <w:rFonts w:ascii="Times New Roman" w:cs="Times New Roman" w:eastAsia="Times New Roman" w:hAnsi="Times New Roman"/>
          <w:sz w:val="18"/>
          <w:szCs w:val="18"/>
          <w:u w:val="single" w:color="auto"/>
          <w:color w:val="auto"/>
        </w:rPr>
        <w:t>Subsequent Tranche Registration Statement, as applicable,</w:t>
      </w:r>
      <w:r>
        <w:rPr>
          <w:rFonts w:ascii="Times New Roman" w:cs="Times New Roman" w:eastAsia="Times New Roman" w:hAnsi="Times New Roman"/>
          <w:sz w:val="18"/>
          <w:szCs w:val="18"/>
          <w:color w:val="auto"/>
        </w:rPr>
        <w:t xml:space="preserve"> as required by the Commission, covering the maximum number of Registrable Securities permitted to be registered by the Commission, on Form S-3 or such other form available to register for resale the Registrable Securities as a secondary offering, subject to the provisions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to filing on Form S-3 or other appropriate form, and shall not be subject to payment of liquidated damages hereunder with respect to any cut back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reasonable efforts to advocate with the Commission for the registration of all of the Registrable Securities in accordance with the SEC Guidance, including without limitation, Compliance and Disclosure Interpretation 612.09.</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6" w:name="page107"/>
    <w:bookmarkEnd w:id="10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Notwithstanding any other provision of this Agreement and subject to the payment of liquidated damages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if the Commission or any SEC Guidance sets forth a limitation on the number of Registrable Securities permitted to be registered on a particular Registration Statement as a secondary offering (and notwithstanding that the Company used reasonable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sz w:val="20"/>
          <w:szCs w:val="20"/>
          <w:color w:val="auto"/>
        </w:rPr>
      </w:pPr>
    </w:p>
    <w:p>
      <w:pPr>
        <w:ind w:left="2200" w:hanging="248"/>
        <w:spacing w:after="0"/>
        <w:tabs>
          <w:tab w:leader="none" w:pos="22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 and</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reduce Registrable Securities represented by Conversion Shares (applied, in the case that some Conversion Shares may be registered, to the Holders on a pro rata basis based on the total number of unregistered Conversion Shares held by such 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event of a cutback hereunder, the Company shall give the Holder at least five (5) Trading Days prior written notice along with the calculations as to such Holder’s allotment. In the event the Company amends the Initial Registration Statement or a </w:t>
      </w:r>
      <w:r>
        <w:rPr>
          <w:rFonts w:ascii="Times New Roman" w:cs="Times New Roman" w:eastAsia="Times New Roman" w:hAnsi="Times New Roman"/>
          <w:sz w:val="18"/>
          <w:szCs w:val="18"/>
          <w:u w:val="single" w:color="auto"/>
          <w:color w:val="auto"/>
        </w:rPr>
        <w:t>Subsequent Tranche Registration Statement,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in accordance with the foregoing, the Company will use its commercially reasonable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or a </w:t>
      </w:r>
      <w:r>
        <w:rPr>
          <w:rFonts w:ascii="Times New Roman" w:cs="Times New Roman" w:eastAsia="Times New Roman" w:hAnsi="Times New Roman"/>
          <w:sz w:val="18"/>
          <w:szCs w:val="18"/>
          <w:u w:val="single" w:color="auto"/>
          <w:color w:val="auto"/>
        </w:rPr>
        <w:t>Subsequent Tranche Registration Statement, as applicable,</w:t>
      </w:r>
      <w:r>
        <w:rPr>
          <w:rFonts w:ascii="Times New Roman" w:cs="Times New Roman" w:eastAsia="Times New Roman" w:hAnsi="Times New Roman"/>
          <w:sz w:val="18"/>
          <w:szCs w:val="18"/>
          <w:color w:val="auto"/>
        </w:rPr>
        <w:t xml:space="preserve"> each as amended.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2.4 If: (i) the Initial Registration Statement or a </w:t>
      </w:r>
      <w:r>
        <w:rPr>
          <w:rFonts w:ascii="Times New Roman" w:cs="Times New Roman" w:eastAsia="Times New Roman" w:hAnsi="Times New Roman"/>
          <w:sz w:val="18"/>
          <w:szCs w:val="18"/>
          <w:u w:val="single" w:color="auto"/>
          <w:color w:val="auto"/>
        </w:rPr>
        <w:t>Subsequent Tranche Registration Statement, as applicable,</w:t>
      </w:r>
      <w:r>
        <w:rPr>
          <w:rFonts w:ascii="Times New Roman" w:cs="Times New Roman" w:eastAsia="Times New Roman" w:hAnsi="Times New Roman"/>
          <w:sz w:val="18"/>
          <w:szCs w:val="18"/>
          <w:color w:val="auto"/>
        </w:rPr>
        <w:t xml:space="preserve"> is not filed on or prior to its Filing Date (if the Company files the Initial Registration Statement or a </w:t>
      </w:r>
      <w:r>
        <w:rPr>
          <w:rFonts w:ascii="Times New Roman" w:cs="Times New Roman" w:eastAsia="Times New Roman" w:hAnsi="Times New Roman"/>
          <w:sz w:val="18"/>
          <w:szCs w:val="18"/>
          <w:u w:val="single" w:color="auto"/>
          <w:color w:val="auto"/>
        </w:rPr>
        <w:t>Subsequent Tranche Registration Statement, as applicable,</w:t>
      </w:r>
      <w:r>
        <w:rPr>
          <w:rFonts w:ascii="Times New Roman" w:cs="Times New Roman" w:eastAsia="Times New Roman" w:hAnsi="Times New Roman"/>
          <w:sz w:val="18"/>
          <w:szCs w:val="18"/>
          <w:color w:val="auto"/>
        </w:rPr>
        <w:t xml:space="preserve"> without affording the Holders the opportunity to review and comment on the same as required by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herein or the Company subsequently withdraws the filing of such Registration Statement, the Company shall be deemed to have not satisfied this clause (i)),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(iv) a Registration Statement registering for resale all of the Registrable Securities is not declared effective by the Commission by the Effectiveness Date of the Initial Registration Statement or a </w:t>
      </w:r>
      <w:r>
        <w:rPr>
          <w:rFonts w:ascii="Times New Roman" w:cs="Times New Roman" w:eastAsia="Times New Roman" w:hAnsi="Times New Roman"/>
          <w:sz w:val="18"/>
          <w:szCs w:val="18"/>
          <w:u w:val="single" w:color="auto"/>
          <w:color w:val="auto"/>
        </w:rPr>
        <w:t>Subsequent Tranche Registration Statement, as applicable,</w:t>
      </w:r>
      <w:r>
        <w:rPr>
          <w:rFonts w:ascii="Times New Roman" w:cs="Times New Roman" w:eastAsia="Times New Roman" w:hAnsi="Times New Roman"/>
          <w:sz w:val="18"/>
          <w:szCs w:val="18"/>
          <w:color w:val="auto"/>
        </w:rPr>
        <w:t xml:space="preserve"> (provided that, if the Registration Statement does not allow for the resale of Registrable Securities at prevailing market prices (i.e., only allows for fixed price sales), the Company shall have been deemed to have not satisfied this clause), or (v) after the effective date of a Registration Statement, such Registration Statement ceases for any reason to remain continuously effective as to all Registrable Securities included in such Registration Statement during the Effectiveness Period, or the Holders are otherwise not permitted to utilize the Prospectus therein to resell such Registrable Securities other than due to an Allowed Delay,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and for purposes of clauses (i) and (iv), the date on which such Event occurs, and for purpose of clause (ii) 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weekly anniversary of each such Event Date (if the applicable Event shall not have been cured by such date) until the applicable Event is cured, the Company shall pay to each Holder an amount in cash, as partial liquidated damages and not as a penalty, equal to the product of 0.5% multiplied by the aggregate Subscription Amount paid by such Holder pursuant to the Purchase Agreement, provided that in no event shall the aggregate liquidated damages exceed fifteen percent (15%) of the applicable Subscription Amount; provided further that no liquidated damages shall be payable if and to the extent to, despite best efforts by the Company to avoid a breach hereof, the Company’s failure was caused by, and/or related to, a partial or full government shutdown resulting in the Commission’s inability to timely review or declare effective the Registration Statement or if as a result of SEC Guidance, the Company is unable to include certain Registrable Securities in the Registration Statement until receiving Shareholder Approval. If the Company fails to pay any partial liquidated damages pursuant to this Section in full within seven days after the date payable, the Company will pay interest thereon at a rate of 12%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20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2.5 Notwithstanding anything herein to the contrary, the Company may suspend the use of any Prospectus included in any Registration Statement contemplated by this Section in the event that the Company determines in good faith that such suspension is necessary to delay the disclosure of material non-public information concerning the Company, the disclosure of which at the time is not, in the good faith opinion of the Company, in the best interests of the Company (an “</w:t>
      </w:r>
      <w:r>
        <w:rPr>
          <w:rFonts w:ascii="Times New Roman" w:cs="Times New Roman" w:eastAsia="Times New Roman" w:hAnsi="Times New Roman"/>
          <w:sz w:val="18"/>
          <w:szCs w:val="18"/>
          <w:u w:val="single" w:color="auto"/>
          <w:color w:val="auto"/>
        </w:rPr>
        <w:t>Allowed Delay</w:t>
      </w:r>
      <w:r>
        <w:rPr>
          <w:rFonts w:ascii="Times New Roman" w:cs="Times New Roman" w:eastAsia="Times New Roman" w:hAnsi="Times New Roman"/>
          <w:sz w:val="18"/>
          <w:szCs w:val="18"/>
          <w:color w:val="auto"/>
        </w:rPr>
        <w:t>”); provided, that the Company shall promptly (a) notify each Purchaser in writing of the commencement of and the reasons for an Allowed Delay, but shall not (without the prior written consent of a Purchaser) disclose to such Purchaser any material non-public information giving rise to an Allowed Delay, (b) advise the Purchasers in writing to cease all sales under the Registration Statement until the end of the Allowed Delay and (c) use commercially reasonable efforts to terminate an Allowed Delay as promptly as practicable. The Company shall be entitled to exercise its right under this Section 2.5 to suspend the availability of a Registration Statement and Prospectus for a period not to exceed 20 calendar days (which need not be consecutive days) in any six-month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2.6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2.7 Notwithstanding anything to the contrary contained herein, in no event shall the Company be permitted to name any Holder or affiliate of a Holder as any Underwriter without the prior written consent of such Holder.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Not less than five (5) Trading Days prior to the filing of each Registration Statement and not less than three (3) Trading Days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three (3) Trading Days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w:t>
      </w:r>
    </w:p>
    <w:p>
      <w:pPr>
        <w:spacing w:after="0" w:line="5"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u w:val="single" w:color="auto"/>
          <w:color w:val="auto"/>
        </w:rPr>
        <w:t>Stockholder Questionnaire</w:t>
      </w:r>
      <w:r>
        <w:rPr>
          <w:rFonts w:ascii="Times New Roman" w:cs="Times New Roman" w:eastAsia="Times New Roman" w:hAnsi="Times New Roman"/>
          <w:sz w:val="18"/>
          <w:szCs w:val="18"/>
          <w:color w:val="auto"/>
        </w:rPr>
        <w:t>”) on a date that is 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3.2 (i)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3.4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Days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provided, however,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3.5 Use its commercially reasonable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3.6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3.7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3.8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3.9 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3.10 Upon the occurrence of any event contemplated by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above to suspend the use of any Prospectus until the requisite changes to such Prospectus have been made, then the Holders shall suspend use of such Prospectus. The Company will use its commercially reasonable efforts to ensure that the use of the Prospectus may be resumed as promptly as is practicable. The Company shall be entitled to exercise its right under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to suspend the availability of a Registration Statement and Prospectus, subject to the payment of partial liquidated damages otherwise required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for a period not to exceed 60 calendar days (which need not be consecutive days) in any 12-month period.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3.11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3.12 The Company shall use its commercially reasonable efforts to maintain eligibility for use of Form S-3 (or any successor form thereto) for the registration of the resale of Registrable Securities.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3.13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w:t>
      </w:r>
    </w:p>
    <w:p>
      <w:pPr>
        <w:spacing w:after="0" w:line="3" w:lineRule="exact"/>
        <w:rPr>
          <w:sz w:val="20"/>
          <w:szCs w:val="20"/>
          <w:color w:val="auto"/>
        </w:rPr>
      </w:pPr>
    </w:p>
    <w:p>
      <w:pPr>
        <w:jc w:val="both"/>
        <w:ind w:firstLine="8"/>
        <w:spacing w:after="0" w:line="251" w:lineRule="auto"/>
        <w:tabs>
          <w:tab w:leader="none" w:pos="3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 Notwithstanding the foregoing, any such expenses must be approved by the Company’s Chief Financial Officer in advance of being incurred.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w:t>
      </w:r>
      <w:r>
        <w:rPr>
          <w:rFonts w:ascii="Times New Roman" w:cs="Times New Roman" w:eastAsia="Times New Roman" w:hAnsi="Times New Roman"/>
          <w:sz w:val="18"/>
          <w:szCs w:val="18"/>
          <w:u w:val="single" w:color="auto"/>
          <w:color w:val="auto"/>
        </w:rPr>
        <w:t>Section 3.4(iii)-(vi)</w:t>
      </w:r>
      <w:r>
        <w:rPr>
          <w:rFonts w:ascii="Times New Roman" w:cs="Times New Roman" w:eastAsia="Times New Roman" w:hAnsi="Times New Roman"/>
          <w:sz w:val="18"/>
          <w:szCs w:val="18"/>
          <w:color w:val="auto"/>
        </w:rPr>
        <w:t xml:space="preserve">,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4" w:name="page115"/>
    <w:bookmarkEnd w:id="1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No Piggyback on Registrations</w:t>
      </w:r>
      <w:r>
        <w:rPr>
          <w:rFonts w:ascii="Times New Roman" w:cs="Times New Roman" w:eastAsia="Times New Roman" w:hAnsi="Times New Roman"/>
          <w:sz w:val="18"/>
          <w:szCs w:val="18"/>
          <w:color w:val="auto"/>
        </w:rPr>
        <w:t>.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6.2 shall not prohibit the Company from filing amendments to registration statements filed prior to the date of this Agreement so long as no new securities are registered on any such existing registration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xml:space="preserve">. By its acquisition of Registrable Securities, each Holder agrees that, upon receipt of a notice from the Company of the occurrence of any event of the kind described in </w:t>
      </w:r>
      <w:r>
        <w:rPr>
          <w:rFonts w:ascii="Times New Roman" w:cs="Times New Roman" w:eastAsia="Times New Roman" w:hAnsi="Times New Roman"/>
          <w:sz w:val="18"/>
          <w:szCs w:val="18"/>
          <w:u w:val="single" w:color="auto"/>
          <w:color w:val="auto"/>
        </w:rPr>
        <w:t>Section 3.4(iii)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xml:space="preserve">”) by the Company that the use of the applicable Prospectus (as it may have been supplemented or amended) may be resumed. The Company will use its commercially reasonable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sentence may not be amended, modified, or supplemented except in accordance with the provisions of the first sentence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No consideration shall be offered or paid to any Person to amend or consent to a waiver or modification of any provision of this Agreement unless the same consideration also is offered to all of the parties to this Agreement.</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The Company has not previously entered into any agreement granting any registration rights with respect to any of its securities to any Person that have not been satisfied in full.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 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Registration Rights Agreement as of the date first written above.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SPORTS ENTERTAINMENT GAMING GLOBAL CORPORATION</w:t>
      </w:r>
    </w:p>
    <w:p>
      <w:pPr>
        <w:spacing w:after="0" w:line="229"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Stubblefield</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Stubblefield</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w w:val="99"/>
              </w:rPr>
              <w:t>Chief Financial Officer [Interim] Chief Executive Officer &amp; President</w:t>
            </w:r>
          </w:p>
        </w:tc>
      </w:tr>
    </w:tbl>
    <w:p>
      <w:pPr>
        <w:spacing w:after="0" w:line="19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688" w:right="3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jc w:val="center"/>
              <w:ind w:right="3670"/>
              <w:spacing w:after="0"/>
              <w:rPr>
                <w:sz w:val="20"/>
                <w:szCs w:val="20"/>
                <w:color w:val="auto"/>
              </w:rPr>
            </w:pPr>
            <w:r>
              <w:rPr>
                <w:rFonts w:ascii="Times New Roman" w:cs="Times New Roman" w:eastAsia="Times New Roman" w:hAnsi="Times New Roman"/>
                <w:sz w:val="18"/>
                <w:szCs w:val="18"/>
                <w:color w:val="auto"/>
                <w:w w:val="98"/>
              </w:rPr>
              <w:t>[SIGNATURE PAGE OF HOLDERS]</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18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Alumni Capital LP</w:t>
            </w:r>
          </w:p>
        </w:tc>
      </w:tr>
      <w:tr>
        <w:trPr>
          <w:trHeight w:val="425"/>
        </w:trPr>
        <w:tc>
          <w:tcPr>
            <w:tcW w:w="3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p>
        </w:tc>
        <w:tc>
          <w:tcPr>
            <w:tcW w:w="18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Ashkan Mapar</w:t>
            </w:r>
          </w:p>
        </w:tc>
      </w:tr>
      <w:tr>
        <w:trPr>
          <w:trHeight w:val="42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Name of Authorized Signatory:</w:t>
            </w:r>
          </w:p>
        </w:tc>
        <w:tc>
          <w:tcPr>
            <w:tcW w:w="18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Ashkan Mapar</w:t>
            </w:r>
          </w:p>
        </w:tc>
      </w:tr>
      <w:tr>
        <w:trPr>
          <w:trHeight w:val="425"/>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Title of Authorized Signatory:</w:t>
            </w:r>
          </w:p>
        </w:tc>
        <w:tc>
          <w:tcPr>
            <w:tcW w:w="186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26"/>
        </w:trPr>
        <w:tc>
          <w:tcPr>
            <w:tcW w:w="3760" w:type="dxa"/>
            <w:vAlign w:val="bottom"/>
          </w:tcPr>
          <w:p>
            <w:pPr>
              <w:spacing w:after="0"/>
              <w:rPr>
                <w:sz w:val="24"/>
                <w:szCs w:val="24"/>
                <w:color w:val="auto"/>
              </w:rPr>
            </w:pPr>
          </w:p>
        </w:tc>
        <w:tc>
          <w:tcPr>
            <w:tcW w:w="7480" w:type="dxa"/>
            <w:vAlign w:val="bottom"/>
            <w:gridSpan w:val="2"/>
          </w:tcPr>
          <w:p>
            <w:pPr>
              <w:jc w:val="center"/>
              <w:ind w:right="3670"/>
              <w:spacing w:after="0"/>
              <w:rPr>
                <w:sz w:val="20"/>
                <w:szCs w:val="20"/>
                <w:color w:val="auto"/>
              </w:rPr>
            </w:pPr>
            <w:r>
              <w:rPr>
                <w:rFonts w:ascii="Times New Roman" w:cs="Times New Roman" w:eastAsia="Times New Roman" w:hAnsi="Times New Roman"/>
                <w:sz w:val="18"/>
                <w:szCs w:val="18"/>
                <w:color w:val="auto"/>
                <w:w w:val="98"/>
              </w:rPr>
              <w:t>[SIGNATURE PAGES CONTINUE]</w:t>
            </w:r>
          </w:p>
        </w:tc>
      </w:tr>
      <w:tr>
        <w:trPr>
          <w:trHeight w:val="432"/>
        </w:trPr>
        <w:tc>
          <w:tcPr>
            <w:tcW w:w="3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Selling Stockholders may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2" w:name="page123"/>
    <w:bookmarkEnd w:id="1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ind w:left="104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issuable to the selling shareholders upon conversion of the Notes. For additional information regarding the issuances of those shares of common stock and Notes, see “Private Placement of Notes” above. We are registering the shares of common stock in order to permit the selling shareholders to offer the shares for resale from time to time. Except for the ownership of the shares of common stock and the Notes, the selling shareholders have not had any material relationship with us within the past three years.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(as determined under Section 13(d) of the Securities Exchange Act of 1934, as amended, and the rules and regulations thereunder) of the shares of common stock held by each of the selling shareholders. The second column lists the number of shares of common stock beneficially owned by each selling shareholder, based on its ownership of the shares of common stock and Notes, as of March [__], 2026, assuming conversion of the Notes held by the selling shareholder on that date, without regard to any limitations on conversion set forth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(i) the maximum number of shares of common stock issued or issuable upon conversion of the Notes, including payment of interest on the Notes through [DATE], determined as if the outstanding Notes (including interest on the Notes through [DATE]) were converted in full (without regard to any limitations on conversion contained therein solely for the purpose of such calculation). Because the conversion price of the Notes, the number of shares that will actually be issued may be more or less than the number of shares being offered by this prospectus. The fourth column assumes the sale of all of the shares offered by the selling stockholders pursuant to this prospectus.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Notes, a selling shareholder may not convert any such Notes to the extent such conversion or exercise would cause such selling shareholder, together with its affiliates and attribution parties, to beneficially own a number of shares of common stock which would exceed 4.99% or 9.99%, as applicable, of our then outstanding common stock following such conversion, excluding for purposes of such determination shares of common stock issuable upon conversion of such Notes which have not been converted. The number of shares in the second and fourth columns do not reflect this limitation. The selling shareholders may sell all, some or none of their shares in this offering. See “Plan of Distribution.”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selling shareholders may sell all, some or none of their shares in this offering.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 Number of shares of</w:t>
            </w:r>
          </w:p>
        </w:tc>
        <w:tc>
          <w:tcPr>
            <w:tcW w:w="24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 Stock to be Sold</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Common</w:t>
            </w:r>
          </w:p>
        </w:tc>
      </w:tr>
      <w:tr>
        <w:trPr>
          <w:trHeight w:val="238"/>
        </w:trPr>
        <w:tc>
          <w:tcPr>
            <w:tcW w:w="338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2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 Owned Prior to Offering</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Pursuant to this Prospectus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 Owned After Offering</w:t>
            </w:r>
          </w:p>
        </w:tc>
      </w:tr>
      <w:tr>
        <w:trPr>
          <w:trHeight w:val="1289"/>
        </w:trPr>
        <w:tc>
          <w:tcPr>
            <w:tcW w:w="316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Sports Entertainment Gaming Global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8"/>
          <w:szCs w:val="18"/>
          <w:b w:val="1"/>
          <w:bCs w:val="1"/>
          <w:color w:val="auto"/>
        </w:rPr>
        <w:t>PURCHASER QUESTIONNAIRE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Purchaser</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3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 for Notices to Purchaser: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w:t>
      </w:r>
    </w:p>
    <w:p>
      <w:pPr>
        <w:spacing w:after="0" w:line="2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Person:</w:t>
      </w:r>
    </w:p>
    <w:p>
      <w:pPr>
        <w:spacing w:after="0" w:line="2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-2665095</wp:posOffset>
            </wp:positionV>
            <wp:extent cx="63093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-2245360</wp:posOffset>
            </wp:positionV>
            <wp:extent cx="63093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-1687830</wp:posOffset>
            </wp:positionV>
            <wp:extent cx="63093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-1268095</wp:posOffset>
            </wp:positionV>
            <wp:extent cx="67208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-1122045</wp:posOffset>
            </wp:positionV>
            <wp:extent cx="67208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-976630</wp:posOffset>
            </wp:positionV>
            <wp:extent cx="67208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-830580</wp:posOffset>
            </wp:positionV>
            <wp:extent cx="58978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9788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-685165</wp:posOffset>
            </wp:positionV>
            <wp:extent cx="58978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9788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-539115</wp:posOffset>
            </wp:positionV>
            <wp:extent cx="58978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164" w:lineRule="exact"/>
        <w:rPr>
          <w:sz w:val="20"/>
          <w:szCs w:val="20"/>
          <w:color w:val="auto"/>
        </w:rPr>
      </w:pPr>
    </w:p>
    <w:p>
      <w:pPr>
        <w:ind w:left="3240"/>
        <w:spacing w:after="0" w:line="207" w:lineRule="exact"/>
        <w:tabs>
          <w:tab w:leader="none" w:pos="41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hanging="644"/>
        <w:spacing w:after="0"/>
        <w:tabs>
          <w:tab w:leader="none" w:pos="13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ind w:left="3240"/>
        <w:spacing w:after="0" w:line="207" w:lineRule="exact"/>
        <w:tabs>
          <w:tab w:leader="none" w:pos="41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Note: If “no” to Section 3(b), the Commission’s staff has indicated that you should be identified as an underwriter in the Registration Statement.</w:t>
      </w:r>
    </w:p>
    <w:p>
      <w:pPr>
        <w:spacing w:after="0" w:line="162"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ind w:left="3240"/>
        <w:spacing w:after="0" w:line="207" w:lineRule="exact"/>
        <w:tabs>
          <w:tab w:leader="none" w:pos="41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7" w:name="page128"/>
    <w:bookmarkEnd w:id="127"/>
    <w:p>
      <w:pPr>
        <w:jc w:val="both"/>
        <w:ind w:left="1300" w:hanging="644"/>
        <w:spacing w:after="0" w:line="266" w:lineRule="auto"/>
        <w:tabs>
          <w:tab w:leader="none" w:pos="13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ind w:left="3240"/>
        <w:spacing w:after="0" w:line="207" w:lineRule="exact"/>
        <w:tabs>
          <w:tab w:leader="none" w:pos="40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Note: If “no” to Section 3(d), the Commission’s staff has indicated that you should be identified as an underwriter in the Registration Statement.</w:t>
      </w:r>
    </w:p>
    <w:p>
      <w:pPr>
        <w:spacing w:after="0" w:line="158"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Beneficial Ownership of Securities of the Company Owned by the Purchaser.</w:t>
      </w:r>
    </w:p>
    <w:p>
      <w:pPr>
        <w:spacing w:after="0" w:line="227" w:lineRule="exact"/>
        <w:rPr>
          <w:rFonts w:ascii="Times New Roman" w:cs="Times New Roman" w:eastAsia="Times New Roman" w:hAnsi="Times New Roman"/>
          <w:sz w:val="18"/>
          <w:szCs w:val="18"/>
          <w:color w:val="auto"/>
        </w:rPr>
      </w:pPr>
    </w:p>
    <w:p>
      <w:pPr>
        <w:ind w:left="6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Relationships with the Company:</w:t>
      </w:r>
    </w:p>
    <w:p>
      <w:pPr>
        <w:spacing w:after="0" w:line="227" w:lineRule="exact"/>
        <w:rPr>
          <w:rFonts w:ascii="Times New Roman" w:cs="Times New Roman" w:eastAsia="Times New Roman" w:hAnsi="Times New Roman"/>
          <w:sz w:val="18"/>
          <w:szCs w:val="18"/>
          <w:color w:val="auto"/>
        </w:rPr>
      </w:pPr>
    </w:p>
    <w:p>
      <w:pPr>
        <w:jc w:val="both"/>
        <w:ind w:left="6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-1233805</wp:posOffset>
            </wp:positionV>
            <wp:extent cx="63093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936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-1087755</wp:posOffset>
            </wp:positionV>
            <wp:extent cx="63093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154305</wp:posOffset>
            </wp:positionV>
            <wp:extent cx="67208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300355</wp:posOffset>
            </wp:positionV>
            <wp:extent cx="67208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54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7894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89420" cy="8255"/>
                    </a:xfrm>
                    <a:prstGeom prst="rect">
                      <a:avLst/>
                    </a:prstGeom>
                    <a:noFill/>
                  </pic:spPr>
                </pic:pic>
              </a:graphicData>
            </a:graphic>
          </wp:anchor>
        </w:drawing>
      </w:r>
    </w:p>
    <w:p>
      <w:pPr>
        <w:spacing w:after="0" w:line="24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1)"/>
      <w:numFmt w:val="decimal"/>
      <w:start w:val="10"/>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1."/>
      <w:numFmt w:val="decimal"/>
      <w:start w:val="2"/>
    </w:lvl>
    <w:lvl w:ilvl="1">
      <w:lvlJc w:val="left"/>
      <w:lvlText w:val="%2."/>
      <w:numFmt w:val="upperLetter"/>
      <w:start w:val="1"/>
    </w:lvl>
  </w:abstractNum>
  <w:abstractNum w:abstractNumId="4">
    <w:nsid w:val="5DC79EA8"/>
    <w:multiLevelType w:val="hybridMultilevel"/>
    <w:lvl w:ilvl="0">
      <w:lvlJc w:val="left"/>
      <w:lvlText w:val="%1."/>
      <w:numFmt w:val="decimal"/>
      <w:start w:val="4"/>
    </w:lvl>
  </w:abstractNum>
  <w:abstractNum w:abstractNumId="5">
    <w:nsid w:val="540A471C"/>
    <w:multiLevelType w:val="hybridMultilevel"/>
    <w:lvl w:ilvl="0">
      <w:lvlJc w:val="left"/>
      <w:lvlText w:val="%1."/>
      <w:numFmt w:val="decimal"/>
      <w:start w:val="5"/>
    </w:lvl>
  </w:abstractNum>
  <w:abstractNum w:abstractNumId="6">
    <w:nsid w:val="7BD3EE7B"/>
    <w:multiLevelType w:val="hybridMultilevel"/>
    <w:lvl w:ilvl="0">
      <w:lvlJc w:val="left"/>
      <w:lvlText w:val="%1."/>
      <w:numFmt w:val="decimal"/>
      <w:start w:val="6"/>
    </w:lvl>
  </w:abstractNum>
  <w:abstractNum w:abstractNumId="7">
    <w:nsid w:val="51D9C564"/>
    <w:multiLevelType w:val="hybridMultilevel"/>
    <w:lvl w:ilvl="0">
      <w:lvlJc w:val="left"/>
      <w:lvlText w:val="%1."/>
      <w:numFmt w:val="decimal"/>
      <w:start w:val="7"/>
    </w:lvl>
  </w:abstractNum>
  <w:abstractNum w:abstractNumId="8">
    <w:nsid w:val="613EFDC5"/>
    <w:multiLevelType w:val="hybridMultilevel"/>
    <w:lvl w:ilvl="0">
      <w:lvlJc w:val="left"/>
      <w:lvlText w:val="%1."/>
      <w:numFmt w:val="lowerRoman"/>
      <w:start w:val="1"/>
    </w:lvl>
  </w:abstractNum>
  <w:abstractNum w:abstractNumId="9">
    <w:nsid w:val="BF72B14"/>
    <w:multiLevelType w:val="hybridMultilevel"/>
    <w:lvl w:ilvl="0">
      <w:lvlJc w:val="left"/>
      <w:lvlText w:val="%1"/>
      <w:numFmt w:val="upperLetter"/>
      <w:start w:val="1"/>
    </w:lvl>
    <w:lvl w:ilvl="1">
      <w:lvlJc w:val="left"/>
      <w:lvlText w:val="%2."/>
      <w:numFmt w:val="lowerRoman"/>
      <w:start w:val="1"/>
    </w:lvl>
  </w:abstractNum>
  <w:abstractNum w:abstractNumId="10">
    <w:nsid w:val="11447B73"/>
    <w:multiLevelType w:val="hybridMultilevel"/>
    <w:lvl w:ilvl="0">
      <w:lvlJc w:val="left"/>
      <w:lvlText w:val="%1."/>
      <w:numFmt w:val="upperLetter"/>
      <w:start w:val="10"/>
    </w:lvl>
    <w:lvl w:ilvl="1">
      <w:lvlJc w:val="left"/>
      <w:lvlText w:val="%2"/>
      <w:numFmt w:val="lowerRoman"/>
      <w:start w:val="1"/>
    </w:lvl>
  </w:abstractNum>
  <w:abstractNum w:abstractNumId="11">
    <w:nsid w:val="42963E5A"/>
    <w:multiLevelType w:val="hybridMultilevel"/>
    <w:lvl w:ilvl="0">
      <w:lvlJc w:val="left"/>
      <w:lvlText w:val="%1"/>
      <w:numFmt w:val="upperLetter"/>
      <w:start w:val="1"/>
    </w:lvl>
    <w:lvl w:ilvl="1">
      <w:lvlJc w:val="left"/>
      <w:lvlText w:val="%2."/>
      <w:numFmt w:val="lowerRoman"/>
      <w:start w:val="1"/>
    </w:lvl>
  </w:abstractNum>
  <w:abstractNum w:abstractNumId="12">
    <w:nsid w:val="A0382C5"/>
    <w:multiLevelType w:val="hybridMultilevel"/>
    <w:lvl w:ilvl="0">
      <w:lvlJc w:val="left"/>
      <w:lvlText w:val="%1."/>
      <w:numFmt w:val="upperLetter"/>
      <w:start w:val="21"/>
    </w:lvl>
    <w:lvl w:ilvl="1">
      <w:lvlJc w:val="left"/>
      <w:lvlText w:val="%2"/>
      <w:numFmt w:val="lowerRoman"/>
      <w:start w:val="1"/>
    </w:lvl>
  </w:abstractNum>
  <w:abstractNum w:abstractNumId="13">
    <w:nsid w:val="8F2B15E"/>
    <w:multiLevelType w:val="hybridMultilevel"/>
    <w:lvl w:ilvl="0">
      <w:lvlJc w:val="left"/>
      <w:lvlText w:val="%1."/>
      <w:numFmt w:val="upperLetter"/>
      <w:start w:val="27"/>
    </w:lvl>
  </w:abstractNum>
  <w:abstractNum w:abstractNumId="14">
    <w:nsid w:val="1A32234B"/>
    <w:multiLevelType w:val="hybridMultilevel"/>
    <w:lvl w:ilvl="0">
      <w:lvlJc w:val="left"/>
      <w:lvlText w:val="%1."/>
      <w:numFmt w:val="upperLetter"/>
      <w:start w:val="29"/>
    </w:lvl>
  </w:abstractNum>
  <w:abstractNum w:abstractNumId="15">
    <w:nsid w:val="3B0FD379"/>
    <w:multiLevelType w:val="hybridMultilevel"/>
    <w:lvl w:ilvl="0">
      <w:lvlJc w:val="left"/>
      <w:lvlText w:val="%1."/>
      <w:numFmt w:val="decimal"/>
      <w:start w:val="8"/>
    </w:lvl>
  </w:abstractNum>
  <w:abstractNum w:abstractNumId="16">
    <w:nsid w:val="68EB2F63"/>
    <w:multiLevelType w:val="hybridMultilevel"/>
    <w:lvl w:ilvl="0">
      <w:lvlJc w:val="left"/>
      <w:lvlText w:val="%1"/>
      <w:numFmt w:val="upperLetter"/>
      <w:start w:val="1"/>
    </w:lvl>
    <w:lvl w:ilvl="1">
      <w:lvlJc w:val="left"/>
      <w:lvlText w:val="%2."/>
      <w:numFmt w:val="lowerRoman"/>
      <w:start w:val="1"/>
    </w:lvl>
  </w:abstractNum>
  <w:abstractNum w:abstractNumId="17">
    <w:nsid w:val="4962813B"/>
    <w:multiLevelType w:val="hybridMultilevel"/>
    <w:lvl w:ilvl="0">
      <w:lvlJc w:val="left"/>
      <w:lvlText w:val="%1."/>
      <w:numFmt w:val="upperLetter"/>
      <w:start w:val="3"/>
    </w:lvl>
    <w:lvl w:ilvl="1">
      <w:lvlJc w:val="left"/>
      <w:lvlText w:val="%2"/>
      <w:numFmt w:val="lowerRoman"/>
      <w:start w:val="1"/>
    </w:lvl>
  </w:abstractNum>
  <w:abstractNum w:abstractNumId="18">
    <w:nsid w:val="60B6DF70"/>
    <w:multiLevelType w:val="hybridMultilevel"/>
    <w:lvl w:ilvl="0">
      <w:lvlJc w:val="left"/>
      <w:lvlText w:val="%1."/>
      <w:numFmt w:val="decimal"/>
      <w:start w:val="9"/>
    </w:lvl>
    <w:lvl w:ilvl="1">
      <w:lvlJc w:val="left"/>
      <w:lvlText w:val="%2."/>
      <w:numFmt w:val="upperLetter"/>
      <w:start w:val="1"/>
    </w:lvl>
  </w:abstractNum>
  <w:abstractNum w:abstractNumId="19">
    <w:nsid w:val="6A5EE64"/>
    <w:multiLevelType w:val="hybridMultilevel"/>
    <w:lvl w:ilvl="0">
      <w:lvlJc w:val="left"/>
      <w:lvlText w:val="%1."/>
      <w:numFmt w:val="decimal"/>
      <w:start w:val="10"/>
    </w:lvl>
  </w:abstractNum>
  <w:abstractNum w:abstractNumId="20">
    <w:nsid w:val="14330624"/>
    <w:multiLevelType w:val="hybridMultilevel"/>
    <w:lvl w:ilvl="0">
      <w:lvlJc w:val="left"/>
      <w:lvlText w:val="%1."/>
      <w:numFmt w:val="decimal"/>
      <w:start w:val="11"/>
    </w:lvl>
  </w:abstractNum>
  <w:abstractNum w:abstractNumId="21">
    <w:nsid w:val="7FFFCA11"/>
    <w:multiLevelType w:val="hybridMultilevel"/>
    <w:lvl w:ilvl="0">
      <w:lvlJc w:val="left"/>
      <w:lvlText w:val="%1."/>
      <w:numFmt w:val="decimal"/>
      <w:start w:val="12"/>
    </w:lvl>
  </w:abstractNum>
  <w:abstractNum w:abstractNumId="22">
    <w:nsid w:val="1A27709E"/>
    <w:multiLevelType w:val="hybridMultilevel"/>
    <w:lvl w:ilvl="0">
      <w:lvlJc w:val="left"/>
      <w:lvlText w:val="%1."/>
      <w:numFmt w:val="decimal"/>
      <w:start w:val="13"/>
    </w:lvl>
  </w:abstractNum>
  <w:abstractNum w:abstractNumId="23">
    <w:nsid w:val="71EA1109"/>
    <w:multiLevelType w:val="hybridMultilevel"/>
    <w:lvl w:ilvl="0">
      <w:lvlJc w:val="left"/>
      <w:lvlText w:val="%1."/>
      <w:numFmt w:val="decimal"/>
      <w:start w:val="14"/>
    </w:lvl>
  </w:abstractNum>
  <w:abstractNum w:abstractNumId="24">
    <w:nsid w:val="100F59DC"/>
    <w:multiLevelType w:val="hybridMultilevel"/>
    <w:lvl w:ilvl="0">
      <w:lvlJc w:val="left"/>
      <w:lvlText w:val="%1."/>
      <w:numFmt w:val="decimal"/>
      <w:start w:val="15"/>
    </w:lvl>
  </w:abstractNum>
  <w:abstractNum w:abstractNumId="25">
    <w:nsid w:val="7FB7E0AA"/>
    <w:multiLevelType w:val="hybridMultilevel"/>
    <w:lvl w:ilvl="0">
      <w:lvlJc w:val="left"/>
      <w:lvlText w:val="%1."/>
      <w:numFmt w:val="decimal"/>
      <w:start w:val="16"/>
    </w:lvl>
  </w:abstractNum>
  <w:abstractNum w:abstractNumId="26">
    <w:nsid w:val="6EB5BD4"/>
    <w:multiLevelType w:val="hybridMultilevel"/>
    <w:lvl w:ilvl="0">
      <w:lvlJc w:val="left"/>
      <w:lvlText w:val="%1."/>
      <w:numFmt w:val="decimal"/>
      <w:start w:val="17"/>
    </w:lvl>
  </w:abstractNum>
  <w:abstractNum w:abstractNumId="27">
    <w:nsid w:val="6F6DD9AC"/>
    <w:multiLevelType w:val="hybridMultilevel"/>
    <w:lvl w:ilvl="0">
      <w:lvlJc w:val="left"/>
      <w:lvlText w:val="%1."/>
      <w:numFmt w:val="decimal"/>
      <w:start w:val="18"/>
    </w:lvl>
  </w:abstractNum>
  <w:abstractNum w:abstractNumId="28">
    <w:nsid w:val="94211F2"/>
    <w:multiLevelType w:val="hybridMultilevel"/>
    <w:lvl w:ilvl="0">
      <w:lvlJc w:val="left"/>
      <w:lvlText w:val="%1."/>
      <w:numFmt w:val="decimal"/>
      <w:start w:val="19"/>
    </w:lvl>
  </w:abstractNum>
  <w:abstractNum w:abstractNumId="29">
    <w:nsid w:val="885E1B"/>
    <w:multiLevelType w:val="hybridMultilevel"/>
    <w:lvl w:ilvl="0">
      <w:lvlJc w:val="left"/>
      <w:lvlText w:val="%1."/>
      <w:numFmt w:val="decimal"/>
      <w:start w:val="20"/>
    </w:lvl>
  </w:abstractNum>
  <w:abstractNum w:abstractNumId="30">
    <w:nsid w:val="76272110"/>
    <w:multiLevelType w:val="hybridMultilevel"/>
    <w:lvl w:ilvl="0">
      <w:lvlJc w:val="left"/>
      <w:lvlText w:val="%1."/>
      <w:numFmt w:val="decimal"/>
      <w:start w:val="21"/>
    </w:lvl>
  </w:abstractNum>
  <w:abstractNum w:abstractNumId="31">
    <w:nsid w:val="4C04A8AF"/>
    <w:multiLevelType w:val="hybridMultilevel"/>
    <w:lvl w:ilvl="0">
      <w:lvlJc w:val="left"/>
      <w:lvlText w:val="%1."/>
      <w:numFmt w:val="decimal"/>
      <w:start w:val="23"/>
    </w:lvl>
  </w:abstractNum>
  <w:abstractNum w:abstractNumId="32">
    <w:nsid w:val="1716703B"/>
    <w:multiLevelType w:val="hybridMultilevel"/>
    <w:lvl w:ilvl="0">
      <w:lvlJc w:val="left"/>
      <w:lvlText w:val="%1."/>
      <w:numFmt w:val="decimal"/>
      <w:start w:val="24"/>
    </w:lvl>
  </w:abstractNum>
  <w:abstractNum w:abstractNumId="33">
    <w:nsid w:val="14E17E33"/>
    <w:multiLevelType w:val="hybridMultilevel"/>
    <w:lvl w:ilvl="0">
      <w:lvlJc w:val="left"/>
      <w:lvlText w:val="%1."/>
      <w:numFmt w:val="decimal"/>
      <w:start w:val="25"/>
    </w:lvl>
  </w:abstractNum>
  <w:abstractNum w:abstractNumId="34">
    <w:nsid w:val="3222E7CD"/>
    <w:multiLevelType w:val="hybridMultilevel"/>
    <w:lvl w:ilvl="0">
      <w:lvlJc w:val="left"/>
      <w:lvlText w:val="(%1)"/>
      <w:numFmt w:val="lowerLetter"/>
      <w:start w:val="1"/>
    </w:lvl>
    <w:lvl w:ilvl="1">
      <w:lvlJc w:val="left"/>
      <w:lvlText w:val="(%2)"/>
      <w:numFmt w:val="lowerRoman"/>
      <w:start w:val="1"/>
    </w:lvl>
  </w:abstractNum>
  <w:abstractNum w:abstractNumId="35">
    <w:nsid w:val="74DE0EE3"/>
    <w:multiLevelType w:val="hybridMultilevel"/>
    <w:lvl w:ilvl="0">
      <w:lvlJc w:val="left"/>
      <w:lvlText w:val="%1"/>
      <w:numFmt w:val="lowerLetter"/>
      <w:start w:val="1"/>
    </w:lvl>
    <w:lvl w:ilvl="1">
      <w:lvlJc w:val="left"/>
      <w:lvlText w:val="(%2)"/>
      <w:numFmt w:val="lowerLetter"/>
      <w:start w:val="61"/>
    </w:lvl>
  </w:abstractNum>
  <w:abstractNum w:abstractNumId="36">
    <w:nsid w:val="68EBC550"/>
    <w:multiLevelType w:val="hybridMultilevel"/>
    <w:lvl w:ilvl="0">
      <w:lvlJc w:val="left"/>
      <w:lvlText w:val="(%1)"/>
      <w:numFmt w:val="lowerLetter"/>
      <w:start w:val="2"/>
    </w:lvl>
    <w:lvl w:ilvl="1">
      <w:lvlJc w:val="left"/>
      <w:lvlText w:val="(%2)"/>
      <w:numFmt w:val="lowerLetter"/>
      <w:start w:val="9"/>
    </w:lvl>
  </w:abstractNum>
  <w:abstractNum w:abstractNumId="37">
    <w:nsid w:val="2DF6D648"/>
    <w:multiLevelType w:val="hybridMultilevel"/>
    <w:lvl w:ilvl="0">
      <w:lvlJc w:val="left"/>
      <w:lvlText w:val="%1"/>
      <w:numFmt w:val="lowerLetter"/>
      <w:start w:val="1"/>
    </w:lvl>
    <w:lvl w:ilvl="1">
      <w:lvlJc w:val="left"/>
      <w:lvlText w:val="(%2)"/>
      <w:numFmt w:val="lowerRoman"/>
      <w:start w:val="2"/>
    </w:lvl>
  </w:abstractNum>
  <w:abstractNum w:abstractNumId="38">
    <w:nsid w:val="46B7D447"/>
    <w:multiLevelType w:val="hybridMultilevel"/>
    <w:lvl w:ilvl="0">
      <w:lvlJc w:val="left"/>
      <w:lvlText w:val="(%1)"/>
      <w:numFmt w:val="lowerLetter"/>
      <w:start w:val="3"/>
    </w:lvl>
    <w:lvl w:ilvl="1">
      <w:lvlJc w:val="left"/>
      <w:lvlText w:val="(%2)"/>
      <w:numFmt w:val="lowerRoman"/>
      <w:start w:val="1"/>
    </w:lvl>
  </w:abstractNum>
  <w:abstractNum w:abstractNumId="39">
    <w:nsid w:val="4A2AC315"/>
    <w:multiLevelType w:val="hybridMultilevel"/>
    <w:lvl w:ilvl="0">
      <w:lvlJc w:val="left"/>
      <w:lvlText w:val="(%1)"/>
      <w:numFmt w:val="lowerRoman"/>
      <w:start w:val="6"/>
    </w:lvl>
  </w:abstractNum>
  <w:abstractNum w:abstractNumId="40">
    <w:nsid w:val="39EE015C"/>
    <w:multiLevelType w:val="hybridMultilevel"/>
    <w:lvl w:ilvl="0">
      <w:lvlJc w:val="left"/>
      <w:lvlText w:val="(%1)"/>
      <w:numFmt w:val="lowerLetter"/>
      <w:start w:val="2"/>
    </w:lvl>
  </w:abstractNum>
  <w:abstractNum w:abstractNumId="41">
    <w:nsid w:val="57FC4FBB"/>
    <w:multiLevelType w:val="hybridMultilevel"/>
    <w:lvl w:ilvl="0">
      <w:lvlJc w:val="left"/>
      <w:lvlText w:val="%1"/>
      <w:numFmt w:val="lowerLetter"/>
      <w:start w:val="1"/>
    </w:lvl>
    <w:lvl w:ilvl="1">
      <w:lvlJc w:val="left"/>
      <w:lvlText w:val="(%2)"/>
      <w:numFmt w:val="lowerRoman"/>
      <w:start w:val="1"/>
    </w:lvl>
  </w:abstractNum>
  <w:abstractNum w:abstractNumId="42">
    <w:nsid w:val="CC1016F"/>
    <w:multiLevelType w:val="hybridMultilevel"/>
    <w:lvl w:ilvl="0">
      <w:lvlJc w:val="left"/>
      <w:lvlText w:val="(%1)"/>
      <w:numFmt w:val="lowerLetter"/>
      <w:start w:val="2"/>
    </w:lvl>
    <w:lvl w:ilvl="1">
      <w:lvlJc w:val="left"/>
      <w:lvlText w:val="(%2)"/>
      <w:numFmt w:val="lowerRoman"/>
      <w:start w:val="1"/>
    </w:lvl>
  </w:abstractNum>
  <w:abstractNum w:abstractNumId="43">
    <w:nsid w:val="43F18422"/>
    <w:multiLevelType w:val="hybridMultilevel"/>
    <w:lvl w:ilvl="0">
      <w:lvlJc w:val="left"/>
      <w:lvlText w:val="(%1)"/>
      <w:numFmt w:val="lowerLetter"/>
      <w:start w:val="1"/>
    </w:lvl>
  </w:abstractNum>
  <w:abstractNum w:abstractNumId="44">
    <w:nsid w:val="60EF0119"/>
    <w:multiLevelType w:val="hybridMultilevel"/>
    <w:lvl w:ilvl="0">
      <w:lvlJc w:val="left"/>
      <w:lvlText w:val="(%1)"/>
      <w:numFmt w:val="lowerLetter"/>
      <w:start w:val="3"/>
    </w:lvl>
    <w:lvl w:ilvl="1">
      <w:lvlJc w:val="left"/>
      <w:lvlText w:val="(%2)"/>
      <w:numFmt w:val="lowerLetter"/>
      <w:start w:val="9"/>
    </w:lvl>
  </w:abstractNum>
  <w:abstractNum w:abstractNumId="45">
    <w:nsid w:val="26F324BA"/>
    <w:multiLevelType w:val="hybridMultilevel"/>
    <w:lvl w:ilvl="0">
      <w:lvlJc w:val="left"/>
      <w:lvlText w:val="(%1)"/>
      <w:numFmt w:val="lowerLetter"/>
      <w:start w:val="5"/>
    </w:lvl>
  </w:abstractNum>
  <w:abstractNum w:abstractNumId="46">
    <w:nsid w:val="7F01579B"/>
    <w:multiLevelType w:val="hybridMultilevel"/>
    <w:lvl w:ilvl="0">
      <w:lvlJc w:val="left"/>
      <w:lvlText w:val="(%1)"/>
      <w:numFmt w:val="lowerLetter"/>
      <w:start w:val="8"/>
    </w:lvl>
  </w:abstractNum>
  <w:abstractNum w:abstractNumId="47">
    <w:nsid w:val="49DA307D"/>
    <w:multiLevelType w:val="hybridMultilevel"/>
    <w:lvl w:ilvl="0">
      <w:lvlJc w:val="left"/>
      <w:lvlText w:val="(%1)"/>
      <w:numFmt w:val="lowerLetter"/>
      <w:start w:val="10"/>
    </w:lvl>
  </w:abstractNum>
  <w:abstractNum w:abstractNumId="48">
    <w:nsid w:val="7055A5F5"/>
    <w:multiLevelType w:val="hybridMultilevel"/>
    <w:lvl w:ilvl="0">
      <w:lvlJc w:val="left"/>
      <w:lvlText w:val="(%1)"/>
      <w:numFmt w:val="lowerLetter"/>
      <w:start w:val="13"/>
    </w:lvl>
  </w:abstractNum>
  <w:abstractNum w:abstractNumId="49">
    <w:nsid w:val="5FB8370B"/>
    <w:multiLevelType w:val="hybridMultilevel"/>
    <w:lvl w:ilvl="0">
      <w:lvlJc w:val="left"/>
      <w:lvlText w:val="(%1)"/>
      <w:numFmt w:val="lowerLetter"/>
      <w:start w:val="16"/>
    </w:lvl>
  </w:abstractNum>
  <w:abstractNum w:abstractNumId="50">
    <w:nsid w:val="50801EE1"/>
    <w:multiLevelType w:val="hybridMultilevel"/>
    <w:lvl w:ilvl="0">
      <w:lvlJc w:val="left"/>
      <w:lvlText w:val="(%1)"/>
      <w:numFmt w:val="lowerLetter"/>
      <w:start w:val="17"/>
    </w:lvl>
  </w:abstractNum>
  <w:abstractNum w:abstractNumId="51">
    <w:nsid w:val="488AC1A"/>
    <w:multiLevelType w:val="hybridMultilevel"/>
    <w:lvl w:ilvl="0">
      <w:lvlJc w:val="left"/>
      <w:lvlText w:val="(%1)"/>
      <w:numFmt w:val="lowerLetter"/>
      <w:start w:val="20"/>
    </w:lvl>
  </w:abstractNum>
  <w:abstractNum w:abstractNumId="52">
    <w:nsid w:val="5FB8011C"/>
    <w:multiLevelType w:val="hybridMultilevel"/>
    <w:lvl w:ilvl="0">
      <w:lvlJc w:val="left"/>
      <w:lvlText w:val="(%1)"/>
      <w:numFmt w:val="lowerLetter"/>
      <w:start w:val="25"/>
    </w:lvl>
  </w:abstractNum>
  <w:abstractNum w:abstractNumId="53">
    <w:nsid w:val="6AA78F7F"/>
    <w:multiLevelType w:val="hybridMultilevel"/>
    <w:lvl w:ilvl="0">
      <w:lvlJc w:val="left"/>
      <w:lvlText w:val="%1"/>
      <w:numFmt w:val="lowerLetter"/>
      <w:start w:val="1"/>
    </w:lvl>
    <w:lvl w:ilvl="1">
      <w:lvlJc w:val="left"/>
      <w:lvlText w:val="(%2)"/>
      <w:numFmt w:val="lowerLetter"/>
      <w:start w:val="27"/>
    </w:lvl>
  </w:abstractNum>
  <w:abstractNum w:abstractNumId="54">
    <w:nsid w:val="7672BD23"/>
    <w:multiLevelType w:val="hybridMultilevel"/>
    <w:lvl w:ilvl="0">
      <w:lvlJc w:val="left"/>
      <w:lvlText w:val="(%1)"/>
      <w:numFmt w:val="lowerLetter"/>
      <w:start w:val="35"/>
    </w:lvl>
    <w:lvl w:ilvl="1">
      <w:lvlJc w:val="left"/>
      <w:lvlText w:val="%2"/>
      <w:numFmt w:val="lowerLetter"/>
      <w:start w:val="1"/>
    </w:lvl>
  </w:abstractNum>
  <w:abstractNum w:abstractNumId="55">
    <w:nsid w:val="6FC75AF8"/>
    <w:multiLevelType w:val="hybridMultilevel"/>
    <w:lvl w:ilvl="0">
      <w:lvlJc w:val="left"/>
      <w:lvlText w:val="(%1)"/>
      <w:numFmt w:val="lowerLetter"/>
      <w:start w:val="29"/>
    </w:lvl>
  </w:abstractNum>
  <w:abstractNum w:abstractNumId="56">
    <w:nsid w:val="6A5F7029"/>
    <w:multiLevelType w:val="hybridMultilevel"/>
    <w:lvl w:ilvl="0">
      <w:lvlJc w:val="left"/>
      <w:lvlText w:val="%1"/>
      <w:numFmt w:val="lowerLetter"/>
      <w:start w:val="1"/>
    </w:lvl>
    <w:lvl w:ilvl="1">
      <w:lvlJc w:val="left"/>
      <w:lvlText w:val="(%2)"/>
      <w:numFmt w:val="lowerLetter"/>
      <w:start w:val="33"/>
    </w:lvl>
  </w:abstractNum>
  <w:abstractNum w:abstractNumId="57">
    <w:nsid w:val="7D5E18F8"/>
    <w:multiLevelType w:val="hybridMultilevel"/>
    <w:lvl w:ilvl="0">
      <w:lvlJc w:val="left"/>
      <w:lvlText w:val="(%1)"/>
      <w:numFmt w:val="lowerLetter"/>
      <w:start w:val="35"/>
    </w:lvl>
    <w:lvl w:ilvl="1">
      <w:lvlJc w:val="left"/>
      <w:lvlText w:val="(%2)"/>
      <w:numFmt w:val="lowerLetter"/>
      <w:start w:val="36"/>
    </w:lvl>
  </w:abstractNum>
  <w:abstractNum w:abstractNumId="58">
    <w:nsid w:val="5F3534A4"/>
    <w:multiLevelType w:val="hybridMultilevel"/>
    <w:lvl w:ilvl="0">
      <w:lvlJc w:val="left"/>
      <w:lvlText w:val="(%1)"/>
      <w:numFmt w:val="lowerLetter"/>
      <w:start w:val="38"/>
    </w:lvl>
  </w:abstractNum>
  <w:abstractNum w:abstractNumId="59">
    <w:nsid w:val="73A1821B"/>
    <w:multiLevelType w:val="hybridMultilevel"/>
    <w:lvl w:ilvl="0">
      <w:lvlJc w:val="left"/>
      <w:lvlText w:val="(%1)"/>
      <w:numFmt w:val="lowerLetter"/>
      <w:start w:val="43"/>
    </w:lvl>
  </w:abstractNum>
  <w:abstractNum w:abstractNumId="60">
    <w:nsid w:val="7DE67713"/>
    <w:multiLevelType w:val="hybridMultilevel"/>
    <w:lvl w:ilvl="0">
      <w:lvlJc w:val="left"/>
      <w:lvlText w:val="(%1)"/>
      <w:numFmt w:val="lowerLetter"/>
      <w:start w:val="48"/>
    </w:lvl>
  </w:abstractNum>
  <w:abstractNum w:abstractNumId="61">
    <w:nsid w:val="555C55B5"/>
    <w:multiLevelType w:val="hybridMultilevel"/>
    <w:lvl w:ilvl="0">
      <w:lvlJc w:val="left"/>
      <w:lvlText w:val="(%1)"/>
      <w:numFmt w:val="lowerRoman"/>
      <w:start w:val="20"/>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5"/>
    </w:lvl>
  </w:abstractNum>
  <w:abstractNum w:abstractNumId="64">
    <w:nsid w:val="6A3DD3E8"/>
    <w:multiLevelType w:val="hybridMultilevel"/>
    <w:lvl w:ilvl="0">
      <w:lvlJc w:val="left"/>
      <w:lvlText w:val="(%1)"/>
      <w:numFmt w:val="lowerLetter"/>
      <w:start w:val="1"/>
    </w:lvl>
  </w:abstractNum>
  <w:abstractNum w:abstractNumId="65">
    <w:nsid w:val="71C91298"/>
    <w:multiLevelType w:val="hybridMultilevel"/>
    <w:lvl w:ilvl="0">
      <w:lvlJc w:val="left"/>
      <w:lvlText w:val="(%1)"/>
      <w:numFmt w:val="lowerLetter"/>
      <w:start w:val="2"/>
    </w:lvl>
  </w:abstractNum>
  <w:abstractNum w:abstractNumId="66">
    <w:nsid w:val="9DAF632"/>
    <w:multiLevelType w:val="hybridMultilevel"/>
    <w:lvl w:ilvl="0">
      <w:lvlJc w:val="left"/>
      <w:lvlText w:val="(%1)"/>
      <w:numFmt w:val="lowerRoman"/>
      <w:start w:val="2"/>
    </w:lvl>
  </w:abstractNum>
  <w:abstractNum w:abstractNumId="67">
    <w:nsid w:val="53299938"/>
    <w:multiLevelType w:val="hybridMultilevel"/>
    <w:lvl w:ilvl="0">
      <w:lvlJc w:val="left"/>
      <w:lvlText w:val="(%1)"/>
      <w:numFmt w:val="lowerRoman"/>
      <w:start w:val="2"/>
    </w:lvl>
  </w:abstractNum>
  <w:abstractNum w:abstractNumId="68">
    <w:nsid w:val="1FBFE8E0"/>
    <w:multiLevelType w:val="hybridMultilevel"/>
    <w:lvl w:ilvl="0">
      <w:lvlJc w:val="left"/>
      <w:lvlText w:val="(%1)"/>
      <w:numFmt w:val="lowerLetter"/>
      <w:start w:val="6"/>
    </w:lvl>
  </w:abstractNum>
  <w:abstractNum w:abstractNumId="69">
    <w:nsid w:val="5092CA79"/>
    <w:multiLevelType w:val="hybridMultilevel"/>
    <w:lvl w:ilvl="0">
      <w:lvlJc w:val="left"/>
      <w:lvlText w:val="%1"/>
      <w:numFmt w:val="lowerLetter"/>
      <w:start w:val="1"/>
    </w:lvl>
    <w:lvl w:ilvl="1">
      <w:lvlJc w:val="left"/>
      <w:lvlText w:val="(%2)"/>
      <w:numFmt w:val="lowerLetter"/>
      <w:start w:val="1"/>
    </w:lvl>
  </w:abstractNum>
  <w:abstractNum w:abstractNumId="70">
    <w:nsid w:val="1D545C4D"/>
    <w:multiLevelType w:val="hybridMultilevel"/>
    <w:lvl w:ilvl="0">
      <w:lvlJc w:val="left"/>
      <w:lvlText w:val="(%1)"/>
      <w:numFmt w:val="lowerLetter"/>
      <w:start w:val="9"/>
    </w:lvl>
    <w:lvl w:ilvl="1">
      <w:lvlJc w:val="left"/>
      <w:lvlText w:val="%2"/>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2"/>
    </w:lvl>
  </w:abstractNum>
  <w:abstractNum w:abstractNumId="73">
    <w:nsid w:val="2A155DBC"/>
    <w:multiLevelType w:val="hybridMultilevel"/>
    <w:lvl w:ilvl="0">
      <w:lvlJc w:val="left"/>
      <w:lvlText w:val="(%1)"/>
      <w:numFmt w:val="lowerRoman"/>
      <w:start w:val="3"/>
    </w:lvl>
  </w:abstractNum>
  <w:abstractNum w:abstractNumId="74">
    <w:nsid w:val="1D9F6E5F"/>
    <w:multiLevelType w:val="hybridMultilevel"/>
    <w:lvl w:ilvl="0">
      <w:lvlJc w:val="left"/>
      <w:lvlText w:val="(%1)"/>
      <w:numFmt w:val="lowerRoman"/>
      <w:start w:val="5"/>
    </w:lvl>
  </w:abstractNum>
  <w:abstractNum w:abstractNumId="75">
    <w:nsid w:val="97E1B4E"/>
    <w:multiLevelType w:val="hybridMultilevel"/>
    <w:lvl w:ilvl="0">
      <w:lvlJc w:val="left"/>
      <w:lvlText w:val="(%1)"/>
      <w:numFmt w:val="lowerLetter"/>
      <w:start w:val="1"/>
    </w:lvl>
    <w:lvl w:ilvl="1">
      <w:lvlJc w:val="left"/>
      <w:lvlText w:val="(%2)"/>
      <w:numFmt w:val="lowerLetter"/>
      <w:start w:val="9"/>
    </w:lvl>
  </w:abstractNum>
  <w:abstractNum w:abstractNumId="76">
    <w:nsid w:val="51088277"/>
    <w:multiLevelType w:val="hybridMultilevel"/>
    <w:lvl w:ilvl="0">
      <w:lvlJc w:val="left"/>
      <w:lvlText w:val="%1"/>
      <w:numFmt w:val="lowerLetter"/>
      <w:start w:val="1"/>
    </w:lvl>
    <w:lvl w:ilvl="1">
      <w:lvlJc w:val="left"/>
      <w:lvlText w:val="(%2)"/>
      <w:numFmt w:val="lowerRoman"/>
      <w:start w:val="2"/>
    </w:lvl>
  </w:abstractNum>
  <w:abstractNum w:abstractNumId="77">
    <w:nsid w:val="1CA0C5FA"/>
    <w:multiLevelType w:val="hybridMultilevel"/>
    <w:lvl w:ilvl="0">
      <w:lvlJc w:val="left"/>
      <w:lvlText w:val="(%1)"/>
      <w:numFmt w:val="lowerLetter"/>
      <w:start w:val="2"/>
    </w:lvl>
    <w:lvl w:ilvl="1">
      <w:lvlJc w:val="left"/>
      <w:lvlText w:val="%2"/>
      <w:numFmt w:val="lowerRoman"/>
      <w:start w:val="1"/>
    </w:lvl>
  </w:abstractNum>
  <w:abstractNum w:abstractNumId="78">
    <w:nsid w:val="53584BCB"/>
    <w:multiLevelType w:val="hybridMultilevel"/>
    <w:lvl w:ilvl="0">
      <w:lvlJc w:val="left"/>
      <w:lvlText w:val="(%1)"/>
      <w:numFmt w:val="lowerLetter"/>
      <w:start w:val="3"/>
    </w:lvl>
  </w:abstractNum>
  <w:abstractNum w:abstractNumId="79">
    <w:nsid w:val="415E286C"/>
    <w:multiLevelType w:val="hybridMultilevel"/>
    <w:lvl w:ilvl="0">
      <w:lvlJc w:val="left"/>
      <w:lvlText w:val="%1."/>
      <w:numFmt w:val="decimal"/>
      <w:start w:val="1"/>
    </w:lvl>
  </w:abstractNum>
  <w:abstractNum w:abstractNumId="80">
    <w:nsid w:val="7C58FD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1">
    <w:nsid w:val="23D86AA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82">
    <w:nsid w:val="45E6D486"/>
    <w:multiLevelType w:val="hybridMultilevel"/>
    <w:lvl w:ilvl="0">
      <w:lvlJc w:val="left"/>
      <w:lvlText w:val="%1"/>
      <w:numFmt w:val="lowerRoman"/>
      <w:start w:val="1"/>
    </w:lvl>
    <w:lvl w:ilvl="1">
      <w:lvlJc w:val="left"/>
      <w:lvlText w:val="(%2)"/>
      <w:numFmt w:val="lowerRoman"/>
      <w:start w:val="2"/>
    </w:lvl>
  </w:abstractNum>
  <w:abstractNum w:abstractNumId="83">
    <w:nsid w:val="5C10FE21"/>
    <w:multiLevelType w:val="hybridMultilevel"/>
    <w:lvl w:ilvl="0">
      <w:lvlJc w:val="left"/>
      <w:lvlText w:val="(%1)"/>
      <w:numFmt w:val="lowerRoman"/>
      <w:start w:val="2"/>
    </w:lvl>
    <w:lvl w:ilvl="1">
      <w:lvlJc w:val="left"/>
      <w:lvlText w:val="%2"/>
      <w:numFmt w:val="lowerRoman"/>
      <w:start w:val="1"/>
    </w:lvl>
  </w:abstractNum>
  <w:abstractNum w:abstractNumId="84">
    <w:nsid w:val="E7FFA2B"/>
    <w:multiLevelType w:val="hybridMultilevel"/>
    <w:lvl w:ilvl="0">
      <w:lvlJc w:val="left"/>
      <w:lvlText w:val="(%1)"/>
      <w:numFmt w:val="lowerRoman"/>
      <w:start w:val="3"/>
    </w:lvl>
  </w:abstractNum>
  <w:abstractNum w:abstractNumId="85">
    <w:nsid w:val="3C5991AA"/>
    <w:multiLevelType w:val="hybridMultilevel"/>
    <w:lvl w:ilvl="0">
      <w:lvlJc w:val="left"/>
      <w:lvlText w:val="(%1)"/>
      <w:numFmt w:val="lowerLetter"/>
      <w:start w:val="4"/>
    </w:lvl>
    <w:lvl w:ilvl="1">
      <w:lvlJc w:val="left"/>
      <w:lvlText w:val="(%2)"/>
      <w:numFmt w:val="lowerLetter"/>
      <w:start w:val="9"/>
    </w:lvl>
  </w:abstractNum>
  <w:abstractNum w:abstractNumId="86">
    <w:nsid w:val="4BD8591A"/>
    <w:multiLevelType w:val="hybridMultilevel"/>
    <w:lvl w:ilvl="0">
      <w:lvlJc w:val="left"/>
      <w:lvlText w:val="(%1)"/>
      <w:numFmt w:val="lowerRoman"/>
      <w:start w:val="2"/>
    </w:lvl>
  </w:abstractNum>
  <w:abstractNum w:abstractNumId="87">
    <w:nsid w:val="78DF6A55"/>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88">
    <w:nsid w:val="39B7AAA2"/>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89">
    <w:nsid w:val="2B0D8DBE"/>
    <w:multiLevelType w:val="hybridMultilevel"/>
    <w:lvl w:ilvl="0">
      <w:lvlJc w:val="left"/>
      <w:lvlText w:val="(%1)"/>
      <w:numFmt w:val="lowerRoman"/>
      <w:start w:val="1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0">
    <w:nsid w:val="6C80EC70"/>
    <w:multiLevelType w:val="hybridMultilevel"/>
    <w:lvl w:ilvl="0">
      <w:lvlJc w:val="left"/>
      <w:lvlText w:val="(%1)"/>
      <w:numFmt w:val="lowerRoman"/>
      <w:start w:val="2"/>
    </w:lvl>
  </w:abstractNum>
  <w:abstractNum w:abstractNumId="91">
    <w:nsid w:val="379E21B5"/>
    <w:multiLevelType w:val="hybridMultilevel"/>
    <w:lvl w:ilvl="0">
      <w:lvlJc w:val="left"/>
      <w:lvlText w:val="%1"/>
      <w:numFmt w:val="lowerRoman"/>
      <w:start w:val="1"/>
    </w:lvl>
    <w:lvl w:ilvl="1">
      <w:lvlJc w:val="left"/>
      <w:lvlText w:val="(%2)"/>
      <w:numFmt w:val="lowerRoman"/>
      <w:start w:val="8"/>
    </w:lvl>
  </w:abstractNum>
  <w:abstractNum w:abstractNumId="92">
    <w:nsid w:val="69E373"/>
    <w:multiLevelType w:val="hybridMultilevel"/>
    <w:lvl w:ilvl="0">
      <w:lvlJc w:val="left"/>
      <w:lvlText w:val="(%1)"/>
      <w:numFmt w:val="lowerRoman"/>
      <w:start w:val="2"/>
    </w:lvl>
    <w:lvl w:ilvl="1">
      <w:lvlJc w:val="left"/>
      <w:lvlText w:val="%2"/>
      <w:numFmt w:val="lowerRoman"/>
      <w:start w:val="1"/>
    </w:lvl>
  </w:abstractNum>
  <w:abstractNum w:abstractNumId="93">
    <w:nsid w:val="2C27173B"/>
    <w:multiLevelType w:val="hybridMultilevel"/>
    <w:lvl w:ilvl="0">
      <w:lvlJc w:val="left"/>
      <w:lvlText w:val="(%1)"/>
      <w:numFmt w:val="lowerRoman"/>
      <w:start w:val="12"/>
    </w:lvl>
  </w:abstractNum>
  <w:abstractNum w:abstractNumId="94">
    <w:nsid w:val="4C9B0904"/>
    <w:multiLevelType w:val="hybridMultilevel"/>
    <w:lvl w:ilvl="0">
      <w:lvlJc w:val="left"/>
      <w:lvlText w:val="%1"/>
      <w:numFmt w:val="lowerLetter"/>
      <w:start w:val="1"/>
    </w:lvl>
    <w:lvl w:ilvl="1">
      <w:lvlJc w:val="left"/>
      <w:lvlText w:val="(%2)"/>
      <w:numFmt w:val="lowerRoman"/>
      <w:start w:val="19"/>
    </w:lvl>
  </w:abstractNum>
  <w:abstractNum w:abstractNumId="95">
    <w:nsid w:val="6AA7B75C"/>
    <w:multiLevelType w:val="hybridMultilevel"/>
    <w:lvl w:ilvl="0">
      <w:lvlJc w:val="left"/>
      <w:lvlText w:val="(%1)"/>
      <w:numFmt w:val="lowerLetter"/>
      <w:start w:val="2"/>
    </w:lvl>
    <w:lvl w:ilvl="1">
      <w:lvlJc w:val="left"/>
      <w:lvlText w:val="%2"/>
      <w:numFmt w:val="lowerRoman"/>
      <w:start w:val="1"/>
    </w:lvl>
  </w:abstractNum>
  <w:abstractNum w:abstractNumId="96">
    <w:nsid w:val="1DF029D3"/>
    <w:multiLevelType w:val="hybridMultilevel"/>
    <w:lvl w:ilvl="0">
      <w:lvlJc w:val="left"/>
      <w:lvlText w:val="%1"/>
      <w:numFmt w:val="decimal"/>
      <w:start w:val="1"/>
    </w:lvl>
    <w:lvl w:ilvl="1">
      <w:lvlJc w:val="left"/>
      <w:lvlText w:val="(%2)"/>
      <w:numFmt w:val="lowerLetter"/>
      <w:start w:val="3"/>
    </w:lvl>
  </w:abstractNum>
  <w:abstractNum w:abstractNumId="97">
    <w:nsid w:val="5675FF36"/>
    <w:multiLevelType w:val="hybridMultilevel"/>
    <w:lvl w:ilvl="0">
      <w:lvlJc w:val="left"/>
      <w:lvlText w:val="%1."/>
      <w:numFmt w:val="decimal"/>
      <w:start w:val="6"/>
    </w:lvl>
    <w:lvl w:ilvl="1">
      <w:lvlJc w:val="left"/>
      <w:lvlText w:val="(%2)"/>
      <w:numFmt w:val="lowerLetter"/>
      <w:start w:val="1"/>
    </w:lvl>
  </w:abstractNum>
  <w:abstractNum w:abstractNumId="98">
    <w:nsid w:val="3DD15094"/>
    <w:multiLevelType w:val="hybridMultilevel"/>
    <w:lvl w:ilvl="0">
      <w:lvlJc w:val="left"/>
      <w:lvlText w:val="%1"/>
      <w:numFmt w:val="upperLetter"/>
      <w:start w:val="1"/>
    </w:lvl>
    <w:lvl w:ilvl="1">
      <w:lvlJc w:val="left"/>
      <w:lvlText w:val="(%2)"/>
      <w:numFmt w:val="lowerLetter"/>
      <w:start w:val="2"/>
    </w:lvl>
  </w:abstractNum>
  <w:abstractNum w:abstractNumId="99">
    <w:nsid w:val="3DB012B3"/>
    <w:multiLevelType w:val="hybridMultilevel"/>
    <w:lvl w:ilvl="0">
      <w:lvlJc w:val="left"/>
      <w:lvlText w:val="(%1)"/>
      <w:numFmt w:val="upperLetter"/>
      <w:start w:val="2"/>
    </w:lvl>
    <w:lvl w:ilvl="1">
      <w:lvlJc w:val="left"/>
      <w:lvlText w:val="%2"/>
      <w:numFmt w:val="lowerLetter"/>
      <w:start w:val="1"/>
    </w:lvl>
  </w:abstractNum>
  <w:abstractNum w:abstractNumId="100">
    <w:nsid w:val="2708C9AF"/>
    <w:multiLevelType w:val="hybridMultilevel"/>
    <w:lvl w:ilvl="0">
      <w:lvlJc w:val="left"/>
      <w:lvlText w:val="%1."/>
      <w:numFmt w:val="decimal"/>
      <w:start w:val="7"/>
    </w:lvl>
    <w:lvl w:ilvl="1">
      <w:lvlJc w:val="left"/>
      <w:lvlText w:val="(%2)"/>
      <w:numFmt w:val="lowerLetter"/>
      <w:start w:val="1"/>
    </w:lvl>
  </w:abstractNum>
  <w:abstractNum w:abstractNumId="101">
    <w:nsid w:val="5B25ACE2"/>
    <w:multiLevelType w:val="hybridMultilevel"/>
    <w:lvl w:ilvl="0">
      <w:lvlJc w:val="left"/>
      <w:lvlText w:val="%1"/>
      <w:numFmt w:val="decimal"/>
      <w:start w:val="1"/>
    </w:lvl>
    <w:lvl w:ilvl="1">
      <w:lvlJc w:val="left"/>
      <w:lvlText w:val="(%2)"/>
      <w:numFmt w:val="lowerLetter"/>
      <w:start w:val="2"/>
    </w:lvl>
  </w:abstractNum>
  <w:abstractNum w:abstractNumId="102">
    <w:nsid w:val="175DFCF0"/>
    <w:multiLevelType w:val="hybridMultilevel"/>
    <w:lvl w:ilvl="0">
      <w:lvlJc w:val="left"/>
      <w:lvlText w:val="%1."/>
      <w:numFmt w:val="decimal"/>
      <w:start w:val="8"/>
    </w:lvl>
    <w:lvl w:ilvl="1">
      <w:lvlJc w:val="left"/>
      <w:lvlText w:val="(%2)"/>
      <w:numFmt w:val="lowerLetter"/>
      <w:start w:val="1"/>
    </w:lvl>
  </w:abstractNum>
  <w:abstractNum w:abstractNumId="103">
    <w:nsid w:val="4F97E3E4"/>
    <w:multiLevelType w:val="hybridMultilevel"/>
    <w:lvl w:ilvl="0">
      <w:lvlJc w:val="left"/>
      <w:lvlText w:val="%1"/>
      <w:numFmt w:val="decimal"/>
      <w:start w:val="1"/>
    </w:lvl>
    <w:lvl w:ilvl="1">
      <w:lvlJc w:val="left"/>
      <w:lvlText w:val="(%2)"/>
      <w:numFmt w:val="lowerLetter"/>
      <w:start w:val="3"/>
    </w:lvl>
  </w:abstractNum>
  <w:abstractNum w:abstractNumId="104">
    <w:nsid w:val="53B0A9E"/>
    <w:multiLevelType w:val="hybridMultilevel"/>
    <w:lvl w:ilvl="0">
      <w:lvlJc w:val="left"/>
      <w:lvlText w:val="%1."/>
      <w:numFmt w:val="decimal"/>
      <w:start w:val="9"/>
    </w:lvl>
    <w:lvl w:ilvl="1">
      <w:lvlJc w:val="left"/>
      <w:lvlText w:val="(%2)"/>
      <w:numFmt w:val="lowerLetter"/>
      <w:start w:val="1"/>
    </w:lvl>
  </w:abstractNum>
  <w:abstractNum w:abstractNumId="105">
    <w:nsid w:val="34FD6B4F"/>
    <w:multiLevelType w:val="hybridMultilevel"/>
    <w:lvl w:ilvl="0">
      <w:lvlJc w:val="left"/>
      <w:lvlText w:val="%1"/>
      <w:numFmt w:val="decimal"/>
      <w:start w:val="1"/>
    </w:lvl>
    <w:lvl w:ilvl="1">
      <w:lvlJc w:val="left"/>
      <w:lvlText w:val="(%2)"/>
      <w:numFmt w:val="lowerLetter"/>
      <w:start w:val="2"/>
    </w:lvl>
  </w:abstractNum>
  <w:abstractNum w:abstractNumId="106">
    <w:nsid w:val="5915FF32"/>
    <w:multiLevelType w:val="hybridMultilevel"/>
    <w:lvl w:ilvl="0">
      <w:lvlJc w:val="left"/>
      <w:lvlText w:val="%1."/>
      <w:numFmt w:val="decimal"/>
      <w:start w:val="10"/>
    </w:lvl>
    <w:lvl w:ilvl="1">
      <w:lvlJc w:val="left"/>
      <w:lvlText w:val="(%2)"/>
      <w:numFmt w:val="lowerLetter"/>
      <w:start w:val="1"/>
    </w:lvl>
  </w:abstractNum>
  <w:abstractNum w:abstractNumId="107">
    <w:nsid w:val="56438D15"/>
    <w:multiLevelType w:val="hybridMultilevel"/>
    <w:lvl w:ilvl="0">
      <w:lvlJc w:val="left"/>
      <w:lvlText w:val="%1."/>
      <w:numFmt w:val="decimal"/>
      <w:start w:val="11"/>
    </w:lvl>
    <w:lvl w:ilvl="1">
      <w:lvlJc w:val="left"/>
      <w:lvlText w:val="(%2)"/>
      <w:numFmt w:val="lowerLetter"/>
      <w:start w:val="1"/>
    </w:lvl>
  </w:abstractNum>
  <w:abstractNum w:abstractNumId="108">
    <w:nsid w:val="519E3149"/>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109">
    <w:nsid w:val="2C6E4AFD"/>
    <w:multiLevelType w:val="hybridMultilevel"/>
    <w:lvl w:ilvl="0">
      <w:lvlJc w:val="left"/>
      <w:lvlText w:val="%1"/>
      <w:numFmt w:val="upperLetter"/>
      <w:start w:val="1"/>
    </w:lvl>
    <w:lvl w:ilvl="1">
      <w:lvlJc w:val="left"/>
      <w:lvlText w:val="%2."/>
      <w:numFmt w:val="decimal"/>
      <w:start w:val="13"/>
    </w:lvl>
    <w:lvl w:ilvl="2">
      <w:lvlJc w:val="left"/>
      <w:lvlText w:val="(%3)"/>
      <w:numFmt w:val="lowerLetter"/>
      <w:start w:val="1"/>
    </w:lvl>
  </w:abstractNum>
  <w:abstractNum w:abstractNumId="110">
    <w:nsid w:val="17A1B582"/>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11">
    <w:nsid w:val="4DF72E4E"/>
    <w:multiLevelType w:val="hybridMultilevel"/>
    <w:lvl w:ilvl="0">
      <w:lvlJc w:val="left"/>
      <w:lvlText w:val="%1"/>
      <w:numFmt w:val="decimal"/>
      <w:start w:val="1"/>
    </w:lvl>
    <w:lvl w:ilvl="1">
      <w:lvlJc w:val="left"/>
      <w:lvlText w:val="(%2)"/>
      <w:numFmt w:val="lowerLetter"/>
      <w:start w:val="2"/>
    </w:lvl>
  </w:abstractNum>
  <w:abstractNum w:abstractNumId="112">
    <w:nsid w:val="5046B5A9"/>
    <w:multiLevelType w:val="hybridMultilevel"/>
    <w:lvl w:ilvl="0">
      <w:lvlJc w:val="left"/>
      <w:lvlText w:val="%1."/>
      <w:numFmt w:val="decimal"/>
      <w:start w:val="14"/>
    </w:lvl>
    <w:lvl w:ilvl="1">
      <w:lvlJc w:val="left"/>
      <w:lvlText w:val="(%2)"/>
      <w:numFmt w:val="lowerLetter"/>
      <w:start w:val="1"/>
    </w:lvl>
  </w:abstractNum>
  <w:abstractNum w:abstractNumId="113">
    <w:nsid w:val="5D888A08"/>
    <w:multiLevelType w:val="hybridMultilevel"/>
    <w:lvl w:ilvl="0">
      <w:lvlJc w:val="left"/>
      <w:lvlText w:val="(%1)"/>
      <w:numFmt w:val="lowerLetter"/>
      <w:start w:val="6"/>
    </w:lvl>
  </w:abstractNum>
  <w:abstractNum w:abstractNumId="114">
    <w:nsid w:val="2A082C70"/>
    <w:multiLevelType w:val="hybridMultilevel"/>
    <w:lvl w:ilvl="0">
      <w:lvlJc w:val="left"/>
      <w:lvlText w:val="(%1)"/>
      <w:numFmt w:val="lowerLetter"/>
      <w:start w:val="13"/>
    </w:lvl>
  </w:abstractNum>
  <w:abstractNum w:abstractNumId="115">
    <w:nsid w:val="5EC6AFD4"/>
    <w:multiLevelType w:val="hybridMultilevel"/>
    <w:lvl w:ilvl="0">
      <w:lvlJc w:val="left"/>
      <w:lvlText w:val="%1."/>
      <w:numFmt w:val="decimal"/>
      <w:start w:val="16"/>
    </w:lvl>
    <w:lvl w:ilvl="1">
      <w:lvlJc w:val="left"/>
      <w:lvlText w:val="(%2)"/>
      <w:numFmt w:val="lowerLetter"/>
      <w:start w:val="1"/>
    </w:lvl>
  </w:abstractNum>
  <w:abstractNum w:abstractNumId="116">
    <w:nsid w:val="19E21BB2"/>
    <w:multiLevelType w:val="hybridMultilevel"/>
    <w:lvl w:ilvl="0">
      <w:lvlJc w:val="left"/>
      <w:lvlText w:val="%1"/>
      <w:numFmt w:val="decimal"/>
      <w:start w:val="1"/>
    </w:lvl>
    <w:lvl w:ilvl="1">
      <w:lvlJc w:val="left"/>
      <w:lvlText w:val="(%2)"/>
      <w:numFmt w:val="lowerLetter"/>
      <w:start w:val="2"/>
    </w:lvl>
  </w:abstractNum>
  <w:abstractNum w:abstractNumId="117">
    <w:nsid w:val="75E0858A"/>
    <w:multiLevelType w:val="hybridMultilevel"/>
    <w:lvl w:ilvl="0">
      <w:lvlJc w:val="left"/>
      <w:lvlText w:val="%1."/>
      <w:numFmt w:val="decimal"/>
      <w:start w:val="20"/>
    </w:lvl>
    <w:lvl w:ilvl="1">
      <w:lvlJc w:val="left"/>
      <w:lvlText w:val="%2"/>
      <w:numFmt w:val="lowerLetter"/>
      <w:start w:val="1"/>
    </w:lvl>
  </w:abstractNum>
  <w:abstractNum w:abstractNumId="118">
    <w:nsid w:val="57A61A29"/>
    <w:multiLevelType w:val="hybridMultilevel"/>
    <w:lvl w:ilvl="0">
      <w:lvlJc w:val="left"/>
      <w:lvlText w:val="%1."/>
      <w:numFmt w:val="decimal"/>
      <w:start w:val="21"/>
    </w:lvl>
  </w:abstractNum>
  <w:abstractNum w:abstractNumId="119">
    <w:nsid w:val="5399C654"/>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20">
    <w:nsid w:val="20EE1348"/>
    <w:multiLevelType w:val="hybridMultilevel"/>
    <w:lvl w:ilvl="0">
      <w:lvlJc w:val="left"/>
      <w:lvlText w:val="%1"/>
      <w:numFmt w:val="decimal"/>
      <w:start w:val="1"/>
    </w:lvl>
    <w:lvl w:ilvl="1">
      <w:lvlJc w:val="left"/>
      <w:lvlText w:val="(%2)"/>
      <w:numFmt w:val="lowerLetter"/>
      <w:start w:val="2"/>
    </w:lvl>
  </w:abstractNum>
  <w:abstractNum w:abstractNumId="121">
    <w:nsid w:val="4427069A"/>
    <w:multiLevelType w:val="hybridMultilevel"/>
    <w:lvl w:ilvl="0">
      <w:lvlJc w:val="left"/>
      <w:lvlText w:val="%1."/>
      <w:numFmt w:val="decimal"/>
      <w:start w:val="25"/>
    </w:lvl>
    <w:lvl w:ilvl="1">
      <w:lvlJc w:val="left"/>
      <w:lvlText w:val="(%2)"/>
      <w:numFmt w:val="lowerLetter"/>
      <w:start w:val="1"/>
    </w:lvl>
  </w:abstractNum>
  <w:abstractNum w:abstractNumId="122">
    <w:nsid w:val="B37E80A"/>
    <w:multiLevelType w:val="hybridMultilevel"/>
    <w:lvl w:ilvl="0">
      <w:lvlJc w:val="left"/>
      <w:lvlText w:val="%1."/>
      <w:numFmt w:val="decimal"/>
      <w:start w:val="26"/>
    </w:lvl>
  </w:abstractNum>
  <w:abstractNum w:abstractNumId="123">
    <w:nsid w:val="2157F6BC"/>
    <w:multiLevelType w:val="hybridMultilevel"/>
    <w:lvl w:ilvl="0">
      <w:lvlJc w:val="left"/>
      <w:lvlText w:val="%1"/>
      <w:numFmt w:val="upperLetter"/>
      <w:start w:val="1"/>
    </w:lvl>
    <w:lvl w:ilvl="1">
      <w:lvlJc w:val="left"/>
      <w:lvlText w:val="%2."/>
      <w:numFmt w:val="decimal"/>
      <w:start w:val="30"/>
    </w:lvl>
    <w:lvl w:ilvl="2">
      <w:lvlJc w:val="left"/>
      <w:lvlText w:val="(%3)"/>
      <w:numFmt w:val="lowerLetter"/>
      <w:start w:val="1"/>
    </w:lvl>
  </w:abstractNum>
  <w:abstractNum w:abstractNumId="124">
    <w:nsid w:val="704E1DD5"/>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5"/>
    </w:lvl>
  </w:abstractNum>
  <w:abstractNum w:abstractNumId="125">
    <w:nsid w:val="57D2F10E"/>
    <w:multiLevelType w:val="hybridMultilevel"/>
    <w:lvl w:ilvl="0">
      <w:lvlJc w:val="left"/>
      <w:lvlText w:val="(%1)"/>
      <w:numFmt w:val="lowerLetter"/>
      <w:start w:val="8"/>
    </w:lvl>
  </w:abstractNum>
  <w:abstractNum w:abstractNumId="126">
    <w:nsid w:val="BFFAE18"/>
    <w:multiLevelType w:val="hybridMultilevel"/>
    <w:lvl w:ilvl="0">
      <w:lvlJc w:val="left"/>
      <w:lvlText w:val="(%1)"/>
      <w:numFmt w:val="lowerLetter"/>
      <w:start w:val="12"/>
    </w:lvl>
  </w:abstractNum>
  <w:abstractNum w:abstractNumId="127">
    <w:nsid w:val="E3E47A8"/>
    <w:multiLevelType w:val="hybridMultilevel"/>
    <w:lvl w:ilvl="0">
      <w:lvlJc w:val="left"/>
      <w:lvlText w:val="(%1)"/>
      <w:numFmt w:val="lowerLetter"/>
      <w:start w:val="18"/>
    </w:lvl>
  </w:abstractNum>
  <w:abstractNum w:abstractNumId="128">
    <w:nsid w:val="2E48F044"/>
    <w:multiLevelType w:val="hybridMultilevel"/>
    <w:lvl w:ilvl="0">
      <w:lvlJc w:val="left"/>
      <w:lvlText w:val="(%1)"/>
      <w:numFmt w:val="lowerLetter"/>
      <w:start w:val="24"/>
    </w:lvl>
  </w:abstractNum>
  <w:abstractNum w:abstractNumId="129">
    <w:nsid w:val="49D0FEAC"/>
    <w:multiLevelType w:val="hybridMultilevel"/>
    <w:lvl w:ilvl="0">
      <w:lvlJc w:val="left"/>
      <w:lvlText w:val="(%1)"/>
      <w:numFmt w:val="lowerLetter"/>
      <w:start w:val="27"/>
    </w:lvl>
  </w:abstractNum>
  <w:abstractNum w:abstractNumId="130">
    <w:nsid w:val="4BEE5A5B"/>
    <w:multiLevelType w:val="hybridMultilevel"/>
    <w:lvl w:ilvl="0">
      <w:lvlJc w:val="left"/>
      <w:lvlText w:val="(%1)"/>
      <w:numFmt w:val="lowerLetter"/>
      <w:start w:val="33"/>
    </w:lvl>
  </w:abstractNum>
  <w:abstractNum w:abstractNumId="131">
    <w:nsid w:val="5551B9F3"/>
    <w:multiLevelType w:val="hybridMultilevel"/>
    <w:lvl w:ilvl="0">
      <w:lvlJc w:val="left"/>
      <w:lvlText w:val="%1"/>
      <w:numFmt w:val="decimal"/>
      <w:start w:val="1"/>
    </w:lvl>
    <w:lvl w:ilvl="1">
      <w:lvlJc w:val="left"/>
      <w:lvlText w:val="(%2)"/>
      <w:numFmt w:val="lowerLetter"/>
      <w:start w:val="41"/>
    </w:lvl>
  </w:abstractNum>
  <w:abstractNum w:abstractNumId="132">
    <w:nsid w:val="24F6AB8E"/>
    <w:multiLevelType w:val="hybridMultilevel"/>
    <w:lvl w:ilvl="0">
      <w:lvlJc w:val="left"/>
      <w:lvlText w:val="%1."/>
      <w:numFmt w:val="decimal"/>
      <w:start w:val="32"/>
    </w:lvl>
    <w:lvl w:ilvl="1">
      <w:lvlJc w:val="left"/>
      <w:lvlText w:val="%2"/>
      <w:numFmt w:val="lowerLetter"/>
      <w:start w:val="1"/>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
      <w:numFmt w:val="bullet"/>
      <w:start w:val="1"/>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Roman"/>
      <w:start w:val="3"/>
    </w:lvl>
  </w:abstractNum>
  <w:abstractNum w:abstractNumId="137">
    <w:nsid w:val="7DFF9D09"/>
    <w:multiLevelType w:val="hybridMultilevel"/>
    <w:lvl w:ilvl="0">
      <w:lvlJc w:val="left"/>
      <w:lvlText w:val="●"/>
      <w:numFmt w:val="bullet"/>
      <w:start w:val="1"/>
    </w:lvl>
  </w:abstractNum>
  <w:abstractNum w:abstractNumId="138">
    <w:nsid w:val="754342"/>
    <w:multiLevelType w:val="hybridMultilevel"/>
    <w:lvl w:ilvl="0">
      <w:lvlJc w:val="left"/>
      <w:lvlText w:val="%1."/>
      <w:numFmt w:val="decimal"/>
      <w:start w:val="1"/>
    </w:lvl>
    <w:lvl w:ilvl="1">
      <w:lvlJc w:val="left"/>
      <w:lvlText w:val="(%2)"/>
      <w:numFmt w:val="lowerLetter"/>
      <w:start w:val="1"/>
    </w:lvl>
  </w:abstractNum>
  <w:abstractNum w:abstractNumId="139">
    <w:nsid w:val="69E7F3E5"/>
    <w:multiLevelType w:val="hybridMultilevel"/>
    <w:lvl w:ilvl="0">
      <w:lvlJc w:val="left"/>
      <w:lvlText w:val="(%1)"/>
      <w:numFmt w:val="lowerLetter"/>
      <w:start w:val="2"/>
    </w:lvl>
  </w:abstractNum>
  <w:abstractNum w:abstractNumId="140">
    <w:nsid w:val="2A6DE806"/>
    <w:multiLevelType w:val="hybridMultilevel"/>
    <w:lvl w:ilvl="0">
      <w:lvlJc w:val="left"/>
      <w:lvlText w:val="(%1)"/>
      <w:numFmt w:val="lowerLetter"/>
      <w:start w:val="3"/>
    </w:lvl>
  </w:abstractNum>
  <w:abstractNum w:abstractNumId="141">
    <w:nsid w:val="1816F8C4"/>
    <w:multiLevelType w:val="hybridMultilevel"/>
    <w:lvl w:ilvl="0">
      <w:lvlJc w:val="left"/>
      <w:lvlText w:val="(%1)"/>
      <w:numFmt w:val="lowerLetter"/>
      <w:start w:val="4"/>
    </w:lvl>
  </w:abstractNum>
  <w:abstractNum w:abstractNumId="142">
    <w:nsid w:val="37DF2233"/>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2026-03-18T16:26:57Z</dcterms:created>
  <dcterms:modified xsi:type="dcterms:W3CDTF">2026-03-18T16:26:57Z</dcterms:modified>
</cp:coreProperties>
</file>